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5</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十</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239</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五</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十一</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23430530">
      <w:pPr>
        <w:pStyle w:val="4"/>
        <w:spacing w:line="520" w:lineRule="exact"/>
        <w:rPr>
          <w:rFonts w:hint="eastAsia"/>
        </w:rPr>
      </w:pPr>
      <w:r>
        <w:rPr>
          <w:rFonts w:hint="eastAsia" w:cs="黑体"/>
        </w:rPr>
        <w:t>【法律法规】</w:t>
      </w:r>
    </w:p>
    <w:p w14:paraId="4A85CC9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[上海市住建委]关于印发《上海市既有建筑装饰装修工程建设程序若干规定》的通知</w:t>
      </w:r>
    </w:p>
    <w:p w14:paraId="2670399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sz w:val="21"/>
          <w:szCs w:val="21"/>
          <w:lang w:val="en-US" w:eastAsia="zh-CN"/>
        </w:rPr>
      </w:pPr>
      <w:r>
        <w:rPr>
          <w:rFonts w:hint="eastAsia" w:ascii="仿宋_GB2312" w:hAnsi="Calibri" w:eastAsia="仿宋_GB2312" w:cs="仿宋_GB2312"/>
          <w:sz w:val="21"/>
          <w:szCs w:val="21"/>
          <w:lang w:val="en-US" w:eastAsia="zh-CN"/>
        </w:rPr>
        <w:t>沪建规范〔2025〕12号</w:t>
      </w:r>
    </w:p>
    <w:p w14:paraId="233CD4D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各有关单位：</w:t>
      </w:r>
    </w:p>
    <w:p w14:paraId="05D00E3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  现将《上海市既有建筑装饰装修工程建设程序若干规定》印发给你们，请遵照执行。</w:t>
      </w:r>
    </w:p>
    <w:p w14:paraId="7D5D5ED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上海市住房和城乡建设管理委员会</w:t>
      </w:r>
    </w:p>
    <w:p w14:paraId="637B1AF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  2025年9月15日</w:t>
      </w:r>
    </w:p>
    <w:p w14:paraId="380C54E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上海市既有建筑装饰装修工程建设程序若干规定</w:t>
      </w:r>
    </w:p>
    <w:p w14:paraId="4B00A08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  第一条（目的和依据）</w:t>
      </w:r>
    </w:p>
    <w:p w14:paraId="068FE7D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进一步规范本市既有建筑装饰装修工程审批和管理流程，持续优化营商环境，方便企业办事，强化事中事后监管，根据《中华人民共和国建筑法》《上海市建筑市场管理条例》《建筑工程施工许可管理办法》等有关法律、法规和规章的规定，制定本规定。</w:t>
      </w:r>
    </w:p>
    <w:p w14:paraId="75FAA51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  第二条（定义）</w:t>
      </w:r>
    </w:p>
    <w:p w14:paraId="201EA4E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  本规定所称的既有建筑物，是指已取得房屋所有权或者使用权且交付投入使用的合法的非居住类房屋建筑。</w:t>
      </w:r>
    </w:p>
    <w:p w14:paraId="3182B66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  本规定所称的装饰装修，是指为保护建筑物的主体结构、完善建筑物的使用功能和美化建筑物，采用装饰装修材料或者饰物，对建筑物的内外表面及空间进行的各种处理过程。</w:t>
      </w:r>
    </w:p>
    <w:p w14:paraId="30873FC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  本规定所称的建设单位，是指房屋产权人，或征得房屋产权人同意、受其委托实施装饰装修活动的有关单位。</w:t>
      </w:r>
    </w:p>
    <w:p w14:paraId="472FFB9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  第三条（适用范围）</w:t>
      </w:r>
    </w:p>
    <w:p w14:paraId="30D2725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  本市行政区域内总投资100万元及以上或者建筑面积300平方米及以上的既有建筑物的装饰装修活动及其监督管理，适用本规定。</w:t>
      </w:r>
    </w:p>
    <w:p w14:paraId="58F6DD3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家庭居室装修工程、居住类房屋修缮工程、抢险救灾及其他临时性房屋建筑、农民自建低层住宅及其附属设施和其他非独立法人组织实施的装饰装修工程，需要变动主体承重结构的大修工程，拆除重建、加高加层、建筑面积调整、改变建筑使用性质、改变结构体系的工程，以及涉及市人民政府确定的特定区域内的房屋立面改造等工程不适用本规定。</w:t>
      </w:r>
    </w:p>
    <w:p w14:paraId="0D53C96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  第四条（职责分工）</w:t>
      </w:r>
    </w:p>
    <w:p w14:paraId="7A8ADE2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  市建设行政管理部门负责本市行政区域内既有建筑装饰装修工程的综合协调和监督指导。</w:t>
      </w:r>
    </w:p>
    <w:p w14:paraId="2A26C5D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区建设行政管理部门和特定地区管委会负责所辖区域内既有建筑装饰装修工程的综合监督管理。区建设行政管理部门或者其委托的建筑业管理部门负责所辖区域内既有建筑装饰装修工程的施工许可审批、质量安全监督和竣工验收及备案等日常管理工作。</w:t>
      </w:r>
    </w:p>
    <w:p w14:paraId="338C3A5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  第五条（工程内容）</w:t>
      </w:r>
    </w:p>
    <w:p w14:paraId="00690C2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  本市既有建筑装饰装修工程（以下简称“装修工程”），分为建筑结构局部变动或加固、消防设计变动、建筑外立面变动和简易装修工程等四种情形，在项目信息报送时，结合实际情况勾选，具体如下：</w:t>
      </w:r>
    </w:p>
    <w:p w14:paraId="7A829AF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  （一）有以下情形之一的，属于建筑结构局部变动或加固</w:t>
      </w:r>
    </w:p>
    <w:p w14:paraId="6D57A38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  1.结构变动不涉及主要竖向抗侧力构件（如柱、承重墙、支撑等）、重要水平抗侧力构件（如主梁、转换梁、支撑等）的；</w:t>
      </w:r>
    </w:p>
    <w:p w14:paraId="34B84AC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  2.楼（屋）盖局部开洞的（未造成结构平面不规则）；</w:t>
      </w:r>
    </w:p>
    <w:p w14:paraId="3386EC6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  3.装修区域重力荷载代表值变化不超过相应区域原建筑的5%，或装修后结构刚度变化不超过原建筑的10%；</w:t>
      </w:r>
    </w:p>
    <w:p w14:paraId="50B082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  4.涉及局部结构加固的。</w:t>
      </w:r>
    </w:p>
    <w:p w14:paraId="2D22A44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  （二）有以下情形之一的，属于消防设计变动</w:t>
      </w:r>
    </w:p>
    <w:p w14:paraId="2559641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  1.属于住房城乡建设部《建设工程消防设计审查验收管理暂行规定》（住建部令第58号）第十四条规定的特殊建设工程，且有消防设计内容的；</w:t>
      </w:r>
    </w:p>
    <w:p w14:paraId="49A484D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  2.涉及消防设施变动的（具体情形由消防设计审查验收主管部门明确）。</w:t>
      </w:r>
    </w:p>
    <w:p w14:paraId="033D8E8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  （三）以下情形属于建筑外立面变动</w:t>
      </w:r>
    </w:p>
    <w:p w14:paraId="676DCF4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  市政府确定的特定区域外，材质、立面效果改变（不涉及玻璃幕墙位置或面积改变），但不影响结构安全、消防安全，且不影响相邻关系的非居住类建筑外立面变动。</w:t>
      </w:r>
    </w:p>
    <w:p w14:paraId="1A3A03A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  （四）除上述三类情形以外，仅涉及建筑涂饰，门窗、吊顶、板块饰面、地面、电气面板、灯具、卫生洁具、固定家具、管线等翻新的，属于简易装修工程。</w:t>
      </w:r>
    </w:p>
    <w:p w14:paraId="2F7D470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  第六条（房屋安全性鉴定与抗震鉴定）</w:t>
      </w:r>
    </w:p>
    <w:p w14:paraId="7A54974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按照《中华人民共和国防震减灾法》《建设工程抗震管理条例》《上海市房屋使用安全管理办法》《既有建筑鉴定与加固通用规范》《房屋质量检测鉴定标准》等法律法规、标准规范及本市有关规定，需要进行房屋安全性鉴定、抗震鉴定的，相关鉴定报告作为施工图设计和审查的依据。涉及以下情形之一的装修工程，也应当进行房屋安全性鉴定：</w:t>
      </w:r>
    </w:p>
    <w:p w14:paraId="3661768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  （一）原建筑1992年以前竣工的；</w:t>
      </w:r>
    </w:p>
    <w:p w14:paraId="1C5D8EC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  （二）原建筑1992年以后竣工，且达到设计使用年限三分之二的；</w:t>
      </w:r>
    </w:p>
    <w:p w14:paraId="016842F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  （三）原建筑经过多次装修，建设单位判断需要进行房屋安全性鉴定的。</w:t>
      </w:r>
    </w:p>
    <w:p w14:paraId="4D1BEF9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  第七条（施工图设计文件审查）</w:t>
      </w:r>
    </w:p>
    <w:p w14:paraId="2A61055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  建设单位按照规定格式在线提交施工图设计文件，并会同设计单位对照本规定第五条在施工图设计文件上注明装修工程所涉情形。</w:t>
      </w:r>
    </w:p>
    <w:p w14:paraId="119B78E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  涉及第五条第（一）、（二）、（三）情形的装修工程应当提交由设计单位和设计负责人电子签章的施工图设计文件。设计负责人应为注册执业人员，并使用带执业印章的电子签章。</w:t>
      </w:r>
    </w:p>
    <w:p w14:paraId="6B1EFE0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  涉及第五条第（一）、（二）、（三）情形的装修工程应开展施工图设计文件审查。施工图设计文件审查办理时限为5个工作日。</w:t>
      </w:r>
    </w:p>
    <w:p w14:paraId="4100834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  第八条（施工许可）</w:t>
      </w:r>
    </w:p>
    <w:p w14:paraId="54450D3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申领施工许可证时，在线提交施工许可申请表、既有建筑物所有权证（其他与所有权证具备同等效力的材料）、房屋产权人作为房屋使用安全责任人对房屋使用安全义务已明晰等相关承诺书、房屋产权人对原建筑历次装修的范围、内容和用途等情况的说明以及其他法定材料。通过租赁方式取得既有建筑物使用权的，还需一并提交租赁合同，以及房屋产权人同意进行装饰装修的相关证明文书。</w:t>
      </w:r>
    </w:p>
    <w:p w14:paraId="18F5E8A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  施工许可证核发时限为2个工作日。</w:t>
      </w:r>
    </w:p>
    <w:p w14:paraId="1197D5C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  第九条（施工过程监管）</w:t>
      </w:r>
    </w:p>
    <w:p w14:paraId="195990A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各级建设行政管理部门和特定地区管委会应当加强对装修工程施工过程的监督检查。对于涉及第五条第（一）、（二）、（三）情形的装修工程，参照本市新建、改建、扩建工程有关规定实施监督管理；对于涉及第五条第（四）情形的装修工程，应当至少到现场检查一次，重点检查施工过程安全。检查中发现不属于装修工程的，或未按照第五条所列工程分类和情形申报的，应当要求建设单位按规定重新申报，并依法依规予以处理。</w:t>
      </w:r>
    </w:p>
    <w:p w14:paraId="731AF56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  市建设行政管理部门定期组织开展本市装修工程专项整治，加强质量（消防）安全隐患排查和市场行为检查。</w:t>
      </w:r>
    </w:p>
    <w:p w14:paraId="4DDA0B1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  第十条（竣工验收及备案）</w:t>
      </w:r>
    </w:p>
    <w:p w14:paraId="63A35CB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涉及第五条第（一）、（二）、（三）情形的装修工程，建设单位依法组织工程竣工验收合格后，涉及消防审验的工程还应按有关规定办理消防验收（或备案）手续后，申请办理工程竣工验收备案。建设行政管理部门受理后，予以备案并在线向建设单位出具竣工验收结果通知书。竣工验收备案办理时限为自受理之日起2个工作日。</w:t>
      </w:r>
    </w:p>
    <w:p w14:paraId="111F130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  仅涉及第五条第（四）情形的装修工程，由建设单位自行验收，在线自行报送完工信息。</w:t>
      </w:r>
    </w:p>
    <w:p w14:paraId="0CD205A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  第十一条（各方责任）</w:t>
      </w:r>
    </w:p>
    <w:p w14:paraId="1A034BC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  房屋产权人作为房屋使用安全责任人，应当履行房屋安全管理义务，加强对建筑装饰装修活动的管理，并对建筑结构和消防安全等负责。</w:t>
      </w:r>
    </w:p>
    <w:p w14:paraId="2A1E17B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  建设单位应当与设计单位共同界定装修工程类别，办理施工许可、竣工验收及备案等相关手续。未办理相关手续的，不得施工或交付使用。</w:t>
      </w:r>
    </w:p>
    <w:p w14:paraId="3E7F995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  建设单位应当根据装修工程的情形、规模和内容等，委托具有相应资质的设计单位和施工单位实施设计和施工，相关从业人员应当满足相应资格要求。</w:t>
      </w:r>
    </w:p>
    <w:p w14:paraId="1D74B49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  建设单位、设计单位、施工单位等各方责任主体要严格执行工程建设有关法律、法规和技术标准、规范以及有关规定，在确保既有建筑物结构安全和消防安全的情况下依法依规开展装饰装修活动。</w:t>
      </w:r>
    </w:p>
    <w:p w14:paraId="7B7FAD5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  施工图审查机构应对施工图中涉及结构和消防安全等是否符合有关法律法规及工程建设强制性标准、国家工程建设消防技术标准等内容进行审查，并对审查结果负责。</w:t>
      </w:r>
    </w:p>
    <w:p w14:paraId="3406EA5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  第十二条（部门协同）</w:t>
      </w:r>
    </w:p>
    <w:p w14:paraId="4816A42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  建设单位应当依法依规办理有关行政许可事项。对部分事项存疑难以确认的，各级建设行政管理部门和特定地区管委会可通过发函、专题会议等方式征询有关管理部门意见。</w:t>
      </w:r>
    </w:p>
    <w:p w14:paraId="1FD98C9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各级建设行政管理部门和特定地区管委会应将装修工程施工许可等审批结果信息主动公开，供规划资源、房屋管理、文物、城管执法、消防救援等行政管理部门就项目是否规避建设工程规划许可、是否规避涉及历史风貌区、优秀历史建筑、不可移动文物保护建筑等相关批准手续，以及项目是否属违法建筑、是否存在违法搭建等违法违规情况开展事中事后监管。</w:t>
      </w:r>
    </w:p>
    <w:p w14:paraId="5996A43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  第十三条（消防设计审查、消防验收、备案）</w:t>
      </w:r>
    </w:p>
    <w:p w14:paraId="09929E9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  除第五条第（四）情形的装修工程以外，装修工程的消防设计审查、消防验收、备案和抽查工作，按照住房城乡建设部及本市有关规定执行。</w:t>
      </w:r>
    </w:p>
    <w:p w14:paraId="408F2B3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  第十四条（玻璃幕墙）</w:t>
      </w:r>
    </w:p>
    <w:p w14:paraId="2F72E18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  对于外立面变动涉及玻璃幕墙的，玻璃幕墙安全性鉴定应按照本市有关规定执行。</w:t>
      </w:r>
    </w:p>
    <w:p w14:paraId="4B81D03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  第十五条（其他）</w:t>
      </w:r>
    </w:p>
    <w:p w14:paraId="7E20110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  非居住存量房屋改建为保障性租赁住房、利用存量资源设置社区嵌入式服务设施、利用存量资源加大养老服务设施供给、商务楼宇更新提升等本市有明确规定的，从其规定。</w:t>
      </w:r>
    </w:p>
    <w:p w14:paraId="59D122B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  第十六条（实施时间）</w:t>
      </w:r>
    </w:p>
    <w:p w14:paraId="6548E9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  本规定自2025年12月1日起施行，有效期至2030年6月30日。</w:t>
      </w:r>
    </w:p>
    <w:p w14:paraId="7BDFCF3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[上海市住建委]关于印发《上海市新型建设工程材料认定管理办法》的通知</w:t>
      </w:r>
    </w:p>
    <w:p w14:paraId="50FA2AC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沪建规范〔2025〕13号</w:t>
      </w:r>
    </w:p>
    <w:p w14:paraId="6C4FB7F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各有关单位：</w:t>
      </w:r>
    </w:p>
    <w:p w14:paraId="621A2D4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  《上海市新型建设工程材料认定管理办法》已经我委2025年第9次主任办公会议审议通过，现予以发布，请遵照执行。</w:t>
      </w:r>
    </w:p>
    <w:p w14:paraId="249EB84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  特此通知。</w:t>
      </w:r>
    </w:p>
    <w:p w14:paraId="6DDF338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上海市住房和城乡建设管理委员会</w:t>
      </w:r>
    </w:p>
    <w:p w14:paraId="32A8BBF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  2025年9月24日</w:t>
      </w:r>
    </w:p>
    <w:p w14:paraId="146F32F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上海市新型建设工程材料认定管理办法</w:t>
      </w:r>
    </w:p>
    <w:p w14:paraId="1561376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贯彻落实党中央、国务院推动新材料产业发展的相关要求，推进建材行业科技创新，鼓励发展并推广节约能源、科技含量高、性能优异的新型建设工程材料应用，根据《上海市建设工程材料管理条例》等有关规定，制定本办法。</w:t>
      </w:r>
    </w:p>
    <w:p w14:paraId="4985B41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  第一条（适用范围）</w:t>
      </w:r>
    </w:p>
    <w:p w14:paraId="41A036F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办法适用于尚无国家标准，已在一个以上（含一个）建设工程试点应用，技术先进、产权明晰，符合本市新型建设工程材料推广指引目录的建设工程材料。本办法所称没有国家技术标准，是指没有国家标准、行业标准、地方标准。本市新型建设工程材料推广指引目录可在上海市住房和城乡建设管理委员会门户网站（https://zjw.sh.gov.cn）查询。</w:t>
      </w:r>
    </w:p>
    <w:p w14:paraId="248DD79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  第二条（职责分工）</w:t>
      </w:r>
    </w:p>
    <w:p w14:paraId="0216C3D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上海市住房和城乡建设管理委员会（以下简称“市住房城乡建设管理委”）负责本市新型建设工程材料认定（房屋建筑和市政基础设施非交通类，下同）的监督管理工作。上海市建筑建材业市场管理总站（以下简称“市市场管理总站”）负责新材料认定的日常管理工作。市、区两级建设工程质量安全监督机构将涉及工程主体结构安全及主要使用功能的新材料纳入工程质量监督管理。</w:t>
      </w:r>
    </w:p>
    <w:p w14:paraId="52B3AED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  第三条（申请资料和要求）</w:t>
      </w:r>
    </w:p>
    <w:p w14:paraId="1B82A95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  申请本市新型建设工程材料认定（以下简称“新材料认定”）的单位可通过上海市政府“一网通办”平台进行网上申请办理，需提交的申请受理资料及有关要求如下：</w:t>
      </w:r>
    </w:p>
    <w:p w14:paraId="34B41B2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  （一）《上海市新型建设工程材料认定申请表》（包含承诺书）。</w:t>
      </w:r>
    </w:p>
    <w:p w14:paraId="2222C84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采用的企业标准。包括产品标准、应用技术标准，企业标准需符合国家有关法规及工程建设标准编写规定，技术要求须高于强制性国家标准及可参照的推荐性国家标准，标准内容需包括材料施工工艺、检测及验收标准等要求，并按有关规定自我声明公开。</w:t>
      </w:r>
    </w:p>
    <w:p w14:paraId="5E6BC36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型式检验报告。报告需符合以下要求：1.检测试样应委托有资质的检测机构现场抽取、检测，同一批次抽取两组，一组用于检测，另一组保存至质保期结束或不少于1年；2.报告应通过本市统一的建设工程检测信息管理系统出具，检测类别应为抽样。</w:t>
      </w:r>
    </w:p>
    <w:p w14:paraId="2F9817E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试点工程证明材料。包括“上海市建设工程采用尚无国家技术标准的新技术、新材料技术论证”意见、建设工程设计文件、材料进场复验报告、现场检测报告以及分部分项工程验收证明。其中各类检测报告需符合以下要求：1.检测报告应通过本市统一的建设工程检测信息管理系统出具；2.检测判定依据需包括新材料采用的企业标准，关键性能指标检测值需满足新材料采用的企业标准，且不应低于相关国家、行业、地方标准的验收要求。</w:t>
      </w:r>
    </w:p>
    <w:p w14:paraId="2781A4F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  （五）质量保证管理体系证明。</w:t>
      </w:r>
    </w:p>
    <w:p w14:paraId="5AB0738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  （六）合作方授权委托书。产研分离情况由生产单位牵头联合申请的，需提供专利证明或合作方授权委托书。</w:t>
      </w:r>
    </w:p>
    <w:p w14:paraId="57BEA47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技术评估材料。申请单位按照新材料研发背景、新材料性能指标、新材料在建设工程应用试点中的质量和安全风险、技术适用性和防范风险措施的可行性、新材料在“有利于绿色低碳发展、有利于保护环境、科技含量高以及符合行业发展方向”方面情况等内容准备技术评估材料，以供技术评估专家参考。</w:t>
      </w:r>
    </w:p>
    <w:p w14:paraId="44D721A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  第四条（受理）</w:t>
      </w:r>
    </w:p>
    <w:p w14:paraId="13507C5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申请单位提交新材料认定申请后，市市场管理总站对申请资料进行核对，自收件之日起5个工作日内，作出受理或不予受理决定。对申请材料齐全、符合本办法第一条、第三条规定的，出具受理凭证；申请事项不符合本办法第一条、第三条规定的，出具不予受理凭证。</w:t>
      </w:r>
    </w:p>
    <w:p w14:paraId="3FBCCCA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  第五条（技术评估）</w:t>
      </w:r>
    </w:p>
    <w:p w14:paraId="037B7DD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市场管理总站自受理新型建设工程材料认定申请之日起7个工作日内，组织开展技术评估。新材料认定技术评估可直接采信“两新”技术论证中创新性、可行性、安全性、适用性等技术论证结论，并重点对该材料在试点工程中的应用效果以及适用范围、推广价值进行评估研判。</w:t>
      </w:r>
    </w:p>
    <w:p w14:paraId="3D4D2DC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技术评估工作采取专家无记名投票方式，反对票不超过1票方可视作通过技术评估。专家组认为需补正材料的，申请单位需在专家组确定的时间内提交补正材料，并经专家组确认，逾期未补正的，视作技术评估不通过。技术评估结果明确后，市市场管理总站在5个工作日内将技术评估报告、初审意见反馈市住房城乡建设管理委。</w:t>
      </w:r>
    </w:p>
    <w:p w14:paraId="2D9009F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  第六条（公示和发证）</w:t>
      </w:r>
    </w:p>
    <w:p w14:paraId="39661A2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住房城乡建设管理委自收到技术评估报告和初审意见之日起5个工作日内，对符合认定条件的新材料在上海市住房和城乡建设管理委员会门户网站进行公示，公示时间为5个工作日。公示期满无异议的在3个工作日内，核发《上海市新型建设工程材料认定证书》（以下简称《认定证书》）。不符合新材料认定条件或公示期间存在异议经查实不符合新材料认定条件的，不予发证。认定结果在上海市住房和城乡建设管理委员会门户网站予以公布并抄送市市场管理总站、上海市建设工程安全质量监督总站（以下简称“市安质监总站”）。技术评估未通过的，自评估之日起半年后方可再次申请该新材料认定。</w:t>
      </w:r>
    </w:p>
    <w:p w14:paraId="74AB997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  第七条（新材料的使用和监督）</w:t>
      </w:r>
    </w:p>
    <w:p w14:paraId="6397E36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单位应建立针对新材料应用的管控制度，加强应用新材料（指经认定的新材料，下同）的分部分项验收管理，在工程质量保修期内定期组织设计、施工等单位对该分部分项工程开展质量回访和质量评估，保障工程质量和安全。</w:t>
      </w:r>
    </w:p>
    <w:p w14:paraId="477BCC6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  建设工程设计单位应当掌握新材料的性能指标、质量和安全风险，在设计文件中采取可靠的风险防范措施。</w:t>
      </w:r>
    </w:p>
    <w:p w14:paraId="7234B38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  施工单位应当掌握新材料的施工工艺，并按照新材料的施工工艺制定操作规程。</w:t>
      </w:r>
    </w:p>
    <w:p w14:paraId="36CBDC8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新材料的使用纳入上海建设工程材料使用监督管理，对住宅项目使用新材料进一步加强把关。新材料供应企业在签订建材供应合同后应通过本市统一的建材监管信息系统报送新材料供应信息，市市场管理总站负责对经认定的新材料使用开展追溯管理和后评估，并会同市安质监总站形成上海新型建设工程材料应用后评估报告报市住房城乡建设管理委。</w:t>
      </w:r>
    </w:p>
    <w:p w14:paraId="064C313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  第八条（续期）</w:t>
      </w:r>
    </w:p>
    <w:p w14:paraId="3BD8FDF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认定证书》有效期3年，可续期一次。新材料认定申请单位需在新材料认定证书期满前三个月向市市场管理总站提出续期申请。续期申请资料包括《认定证书》有效期内该新材料应用情况、企业标准和专利更新等说明。市市场管理总站自收到续期申请材料之日起5个工作日内，作出受理或不予受理决定。</w:t>
      </w:r>
    </w:p>
    <w:p w14:paraId="6FB05E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  市市场管理总站受理续期申请后，组织开展续期评估，结合该材料《认定证书》有效期内的性能质量、工程应用情况、用户反馈等作出初审意见，在20个工作日内将续期初审意见报送市住房城乡建设管理委。</w:t>
      </w:r>
    </w:p>
    <w:p w14:paraId="19CDAC9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住房城乡建设管理委自收到续期初审意见之日起5个工作日内，对符合条件的续期申请在上海市住房和城乡建设管理委员会门户网站进行公示，公示时间为5个工作日。公示无异议的，在3个工作日内予以续期。新材料供应企业未按规定报送新材料供应信息，或不符合新材料认定条件，或公示期间存在异议经查实不符合新材料认定条件的，不予续期。</w:t>
      </w:r>
    </w:p>
    <w:p w14:paraId="1DB6F63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  第九条（新材料认定证书撤销）</w:t>
      </w:r>
    </w:p>
    <w:p w14:paraId="48359DD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  企业在《认定证书》颁发后，出现下列情况之一，市住房城乡建设管理委对其撤销认定：</w:t>
      </w:r>
    </w:p>
    <w:p w14:paraId="41E2C34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  1.申请单位违反承诺书，以欺骗、贿赂等不正当手段取得《认定证书》的；</w:t>
      </w:r>
    </w:p>
    <w:p w14:paraId="79DB331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  2.市、区建设行政管理部门施工现场抽查发现新材料质量不合格的；</w:t>
      </w:r>
    </w:p>
    <w:p w14:paraId="67B7D70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  3.经有关部门裁定存在专利侵权情况的；</w:t>
      </w:r>
    </w:p>
    <w:p w14:paraId="384501E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  4.有关法律、法规、规章规定应予撤销的。</w:t>
      </w:r>
    </w:p>
    <w:p w14:paraId="1A9622D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  第十条（处罚）</w:t>
      </w:r>
    </w:p>
    <w:p w14:paraId="614CD0D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  新型建设工程材料认定过程中存在违法违规行为的，依据有关法律、法规予以处罚。</w:t>
      </w:r>
    </w:p>
    <w:p w14:paraId="4A4B7C1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  第十一条（施行时间）</w:t>
      </w:r>
    </w:p>
    <w:p w14:paraId="35AEF4D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  本办法自2025年11月1日起施行，有效期至2030年10月31日。</w:t>
      </w:r>
    </w:p>
    <w:p w14:paraId="7E8A642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bookmarkStart w:id="0" w:name="_GoBack"/>
      <w:bookmarkEnd w:id="0"/>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5</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10</w:t>
      </w:r>
      <w:r>
        <w:rPr>
          <w:rFonts w:hint="eastAsia" w:ascii="黑体" w:eastAsia="黑体" w:cs="黑体"/>
          <w:b/>
          <w:bCs/>
          <w:color w:val="000000"/>
          <w:sz w:val="32"/>
          <w:szCs w:val="32"/>
        </w:rPr>
        <w:t>月份资质受理情况</w:t>
      </w: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0</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c>
          <w:tcPr>
            <w:tcW w:w="4101" w:type="dxa"/>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c>
          <w:tcPr>
            <w:tcW w:w="3453" w:type="dxa"/>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r>
    </w:tbl>
    <w:p w14:paraId="13ACA7C9">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1</w:t>
      </w:r>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2025/10/9</w:t>
            </w:r>
          </w:p>
        </w:tc>
        <w:tc>
          <w:tcPr>
            <w:tcW w:w="4109" w:type="dxa"/>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保昆（上海）工程技术有限公司</w:t>
            </w:r>
          </w:p>
        </w:tc>
        <w:tc>
          <w:tcPr>
            <w:tcW w:w="3453" w:type="dxa"/>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消防设施工程二级</w:t>
            </w:r>
          </w:p>
        </w:tc>
      </w:tr>
      <w:tr w14:paraId="6569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7E64A78F">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p>
        </w:tc>
        <w:tc>
          <w:tcPr>
            <w:tcW w:w="4109" w:type="dxa"/>
            <w:vAlign w:val="center"/>
          </w:tcPr>
          <w:p w14:paraId="34A93C5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p>
        </w:tc>
        <w:tc>
          <w:tcPr>
            <w:tcW w:w="3453" w:type="dxa"/>
            <w:vAlign w:val="center"/>
          </w:tcPr>
          <w:p w14:paraId="3A8E030F">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模板脚手架不分级</w:t>
            </w:r>
          </w:p>
        </w:tc>
      </w:tr>
    </w:tbl>
    <w:p w14:paraId="6C1AA1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5</w:t>
      </w:r>
      <w:r>
        <w:rPr>
          <w:rFonts w:hint="eastAsia" w:ascii="黑体" w:eastAsia="黑体" w:cs="黑体"/>
          <w:b/>
          <w:bCs/>
          <w:sz w:val="32"/>
          <w:szCs w:val="32"/>
        </w:rPr>
        <w:t>年</w:t>
      </w:r>
      <w:r>
        <w:rPr>
          <w:rFonts w:hint="eastAsia" w:ascii="黑体" w:eastAsia="黑体" w:cs="黑体"/>
          <w:b/>
          <w:bCs/>
          <w:sz w:val="32"/>
          <w:szCs w:val="32"/>
          <w:lang w:val="en-US" w:eastAsia="zh-CN"/>
        </w:rPr>
        <w:t>10</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4FC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BAA36D8">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245096F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2402JS0010</w:t>
            </w:r>
          </w:p>
        </w:tc>
        <w:tc>
          <w:tcPr>
            <w:tcW w:w="686" w:type="dxa"/>
            <w:vAlign w:val="center"/>
          </w:tcPr>
          <w:p w14:paraId="3CFECAD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1C2597F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上海立得催化剂有限公司</w:t>
            </w:r>
          </w:p>
        </w:tc>
        <w:tc>
          <w:tcPr>
            <w:tcW w:w="4008" w:type="dxa"/>
            <w:vAlign w:val="center"/>
          </w:tcPr>
          <w:p w14:paraId="532D8A1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年产400吨干粉催化剂柔性生产线及配套设施建设项目</w:t>
            </w:r>
          </w:p>
        </w:tc>
        <w:tc>
          <w:tcPr>
            <w:tcW w:w="2013" w:type="dxa"/>
            <w:vAlign w:val="center"/>
          </w:tcPr>
          <w:p w14:paraId="0F65D4D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上海能源建设集团有限公司</w:t>
            </w:r>
          </w:p>
        </w:tc>
        <w:tc>
          <w:tcPr>
            <w:tcW w:w="1320" w:type="dxa"/>
            <w:vAlign w:val="center"/>
          </w:tcPr>
          <w:p w14:paraId="2B36AB2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1899.0371</w:t>
            </w:r>
          </w:p>
        </w:tc>
        <w:tc>
          <w:tcPr>
            <w:tcW w:w="1161" w:type="dxa"/>
            <w:vAlign w:val="center"/>
          </w:tcPr>
          <w:p w14:paraId="0C66D6C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2438</w:t>
            </w:r>
          </w:p>
        </w:tc>
        <w:tc>
          <w:tcPr>
            <w:tcW w:w="743" w:type="dxa"/>
            <w:vAlign w:val="center"/>
          </w:tcPr>
          <w:p w14:paraId="71FF6A70">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1F832EF4">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BB39F2"/>
    <w:rsid w:val="01C8547E"/>
    <w:rsid w:val="01CD5C39"/>
    <w:rsid w:val="01CE6C47"/>
    <w:rsid w:val="020A2A7A"/>
    <w:rsid w:val="0213288B"/>
    <w:rsid w:val="023250AD"/>
    <w:rsid w:val="0241242E"/>
    <w:rsid w:val="02445A7A"/>
    <w:rsid w:val="0307310D"/>
    <w:rsid w:val="030A0A72"/>
    <w:rsid w:val="031C78A1"/>
    <w:rsid w:val="032A3D1D"/>
    <w:rsid w:val="033D590D"/>
    <w:rsid w:val="03452BA8"/>
    <w:rsid w:val="037C68DF"/>
    <w:rsid w:val="03BC59DA"/>
    <w:rsid w:val="03D01A1F"/>
    <w:rsid w:val="040870B4"/>
    <w:rsid w:val="041E3538"/>
    <w:rsid w:val="04373D7D"/>
    <w:rsid w:val="04446205"/>
    <w:rsid w:val="044E64F9"/>
    <w:rsid w:val="04516B3B"/>
    <w:rsid w:val="04653711"/>
    <w:rsid w:val="04664400"/>
    <w:rsid w:val="04784101"/>
    <w:rsid w:val="04B670C1"/>
    <w:rsid w:val="051211C6"/>
    <w:rsid w:val="055A1966"/>
    <w:rsid w:val="05791EDF"/>
    <w:rsid w:val="05852631"/>
    <w:rsid w:val="05B922DB"/>
    <w:rsid w:val="05BF2781"/>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E3851"/>
    <w:rsid w:val="089F1C5C"/>
    <w:rsid w:val="08C23B9D"/>
    <w:rsid w:val="08C8787C"/>
    <w:rsid w:val="08D84965"/>
    <w:rsid w:val="09043664"/>
    <w:rsid w:val="090E1F85"/>
    <w:rsid w:val="092375FF"/>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E38293F"/>
    <w:rsid w:val="0EA41275"/>
    <w:rsid w:val="0EC63CAC"/>
    <w:rsid w:val="0EEA5DDE"/>
    <w:rsid w:val="0F2D4C17"/>
    <w:rsid w:val="0F611061"/>
    <w:rsid w:val="0F661DB2"/>
    <w:rsid w:val="0F8137A9"/>
    <w:rsid w:val="0F824086"/>
    <w:rsid w:val="0FB06655"/>
    <w:rsid w:val="108C3ED4"/>
    <w:rsid w:val="110831BA"/>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302586"/>
    <w:rsid w:val="133833D9"/>
    <w:rsid w:val="13536B52"/>
    <w:rsid w:val="139A7BF0"/>
    <w:rsid w:val="14223C5A"/>
    <w:rsid w:val="1425742E"/>
    <w:rsid w:val="1431335A"/>
    <w:rsid w:val="14A6007B"/>
    <w:rsid w:val="14B66CB0"/>
    <w:rsid w:val="14C05076"/>
    <w:rsid w:val="14ED1FA1"/>
    <w:rsid w:val="1530354A"/>
    <w:rsid w:val="15347BD0"/>
    <w:rsid w:val="15412CC9"/>
    <w:rsid w:val="156404B5"/>
    <w:rsid w:val="157C4041"/>
    <w:rsid w:val="15A0257E"/>
    <w:rsid w:val="15B8610B"/>
    <w:rsid w:val="15CC1BB7"/>
    <w:rsid w:val="15D21DE1"/>
    <w:rsid w:val="15E01F98"/>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903629F"/>
    <w:rsid w:val="191A24DE"/>
    <w:rsid w:val="192C067E"/>
    <w:rsid w:val="1969287C"/>
    <w:rsid w:val="19732D0B"/>
    <w:rsid w:val="19B8194C"/>
    <w:rsid w:val="19BE53CF"/>
    <w:rsid w:val="19EB7C55"/>
    <w:rsid w:val="19F93196"/>
    <w:rsid w:val="1A167DBD"/>
    <w:rsid w:val="1A5664B6"/>
    <w:rsid w:val="1A580C7C"/>
    <w:rsid w:val="1A642D06"/>
    <w:rsid w:val="1A6F693D"/>
    <w:rsid w:val="1AF271EC"/>
    <w:rsid w:val="1B066493"/>
    <w:rsid w:val="1B0A7A08"/>
    <w:rsid w:val="1B4E368C"/>
    <w:rsid w:val="1B610760"/>
    <w:rsid w:val="1B9E14CF"/>
    <w:rsid w:val="1BD619E1"/>
    <w:rsid w:val="1C3B38D2"/>
    <w:rsid w:val="1C3E3C73"/>
    <w:rsid w:val="1C3E6B3A"/>
    <w:rsid w:val="1C6012AB"/>
    <w:rsid w:val="1CD37A8D"/>
    <w:rsid w:val="1CD634DF"/>
    <w:rsid w:val="1CF41996"/>
    <w:rsid w:val="1D4E55A7"/>
    <w:rsid w:val="1D4E628F"/>
    <w:rsid w:val="1D5801D4"/>
    <w:rsid w:val="1D8B575C"/>
    <w:rsid w:val="1E346FA7"/>
    <w:rsid w:val="1E635082"/>
    <w:rsid w:val="1ECD3484"/>
    <w:rsid w:val="1EF175B1"/>
    <w:rsid w:val="1F3E4FE2"/>
    <w:rsid w:val="1F6F28A1"/>
    <w:rsid w:val="1F7F5EEC"/>
    <w:rsid w:val="1FA267BA"/>
    <w:rsid w:val="1FB5411C"/>
    <w:rsid w:val="20132385"/>
    <w:rsid w:val="205D4C89"/>
    <w:rsid w:val="206E043A"/>
    <w:rsid w:val="208D32FB"/>
    <w:rsid w:val="20AC4ABE"/>
    <w:rsid w:val="20E3054D"/>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B1B44"/>
    <w:rsid w:val="241629E9"/>
    <w:rsid w:val="244514B2"/>
    <w:rsid w:val="24483B00"/>
    <w:rsid w:val="24605BC8"/>
    <w:rsid w:val="24897977"/>
    <w:rsid w:val="249A33A6"/>
    <w:rsid w:val="249B2A9C"/>
    <w:rsid w:val="24BA2272"/>
    <w:rsid w:val="24BA7B81"/>
    <w:rsid w:val="24C541B7"/>
    <w:rsid w:val="24D67A68"/>
    <w:rsid w:val="24E26893"/>
    <w:rsid w:val="24FA6740"/>
    <w:rsid w:val="250768CB"/>
    <w:rsid w:val="251175E6"/>
    <w:rsid w:val="25137716"/>
    <w:rsid w:val="25333A00"/>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D7644A"/>
    <w:rsid w:val="27E86D24"/>
    <w:rsid w:val="27F61289"/>
    <w:rsid w:val="284D0D1F"/>
    <w:rsid w:val="287A7AF8"/>
    <w:rsid w:val="28807384"/>
    <w:rsid w:val="28985322"/>
    <w:rsid w:val="28AB6E08"/>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90047E"/>
    <w:rsid w:val="2A9160E4"/>
    <w:rsid w:val="2ADC3CBA"/>
    <w:rsid w:val="2AF14141"/>
    <w:rsid w:val="2B1240B8"/>
    <w:rsid w:val="2B2F024F"/>
    <w:rsid w:val="2B4E5A73"/>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E4F2B"/>
    <w:rsid w:val="2E1C57D9"/>
    <w:rsid w:val="2E1E45BA"/>
    <w:rsid w:val="2EB10CDE"/>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EC6366"/>
    <w:rsid w:val="33F95F7B"/>
    <w:rsid w:val="341C3C8C"/>
    <w:rsid w:val="34311A53"/>
    <w:rsid w:val="34392399"/>
    <w:rsid w:val="34824BA3"/>
    <w:rsid w:val="349B32AA"/>
    <w:rsid w:val="35842804"/>
    <w:rsid w:val="358C0536"/>
    <w:rsid w:val="35AE2750"/>
    <w:rsid w:val="35C066F0"/>
    <w:rsid w:val="360C2046"/>
    <w:rsid w:val="36210EBF"/>
    <w:rsid w:val="36735C80"/>
    <w:rsid w:val="36E87F0B"/>
    <w:rsid w:val="36F32FEF"/>
    <w:rsid w:val="36FC2FD0"/>
    <w:rsid w:val="37165DCC"/>
    <w:rsid w:val="371C1BA6"/>
    <w:rsid w:val="377A733E"/>
    <w:rsid w:val="3784633D"/>
    <w:rsid w:val="379876F3"/>
    <w:rsid w:val="382044C2"/>
    <w:rsid w:val="38B642D4"/>
    <w:rsid w:val="39133709"/>
    <w:rsid w:val="391D67BD"/>
    <w:rsid w:val="393F6EB8"/>
    <w:rsid w:val="39420BF2"/>
    <w:rsid w:val="39445D84"/>
    <w:rsid w:val="394F16B6"/>
    <w:rsid w:val="395F6F2B"/>
    <w:rsid w:val="396E1053"/>
    <w:rsid w:val="399357C0"/>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A17037"/>
    <w:rsid w:val="3CD80572"/>
    <w:rsid w:val="3CE344EE"/>
    <w:rsid w:val="3D54230E"/>
    <w:rsid w:val="3D5543D2"/>
    <w:rsid w:val="3D5B6CD0"/>
    <w:rsid w:val="3D7309E6"/>
    <w:rsid w:val="3D87758A"/>
    <w:rsid w:val="3D9628DF"/>
    <w:rsid w:val="3DAE0540"/>
    <w:rsid w:val="3DC15BF5"/>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4F4D15"/>
    <w:rsid w:val="41525EBB"/>
    <w:rsid w:val="41606DE8"/>
    <w:rsid w:val="41754D1F"/>
    <w:rsid w:val="41B91842"/>
    <w:rsid w:val="41C94402"/>
    <w:rsid w:val="42111102"/>
    <w:rsid w:val="422C5607"/>
    <w:rsid w:val="4235558B"/>
    <w:rsid w:val="425B7C9B"/>
    <w:rsid w:val="425F4199"/>
    <w:rsid w:val="428507D8"/>
    <w:rsid w:val="42892644"/>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8012DF"/>
    <w:rsid w:val="45991C7B"/>
    <w:rsid w:val="460D0B20"/>
    <w:rsid w:val="46103030"/>
    <w:rsid w:val="46236D21"/>
    <w:rsid w:val="462B5DAF"/>
    <w:rsid w:val="463C47AB"/>
    <w:rsid w:val="46447FE8"/>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124838"/>
    <w:rsid w:val="4B307F16"/>
    <w:rsid w:val="4B547E08"/>
    <w:rsid w:val="4B7660BB"/>
    <w:rsid w:val="4B8169C4"/>
    <w:rsid w:val="4C0575F5"/>
    <w:rsid w:val="4C2A32ED"/>
    <w:rsid w:val="4C2E0F47"/>
    <w:rsid w:val="4C395F84"/>
    <w:rsid w:val="4C420F4E"/>
    <w:rsid w:val="4D1A70D0"/>
    <w:rsid w:val="4D256CDE"/>
    <w:rsid w:val="4D3A6F3F"/>
    <w:rsid w:val="4D666198"/>
    <w:rsid w:val="4D6C60A8"/>
    <w:rsid w:val="4D7033AA"/>
    <w:rsid w:val="4D7D140D"/>
    <w:rsid w:val="4DB56DF9"/>
    <w:rsid w:val="4DB7601E"/>
    <w:rsid w:val="4DCF72D7"/>
    <w:rsid w:val="4DDC35C3"/>
    <w:rsid w:val="4DFA6C98"/>
    <w:rsid w:val="4E002804"/>
    <w:rsid w:val="4E5840C4"/>
    <w:rsid w:val="4E734169"/>
    <w:rsid w:val="4EF025D5"/>
    <w:rsid w:val="4EF12BB9"/>
    <w:rsid w:val="4F165675"/>
    <w:rsid w:val="4F1B712F"/>
    <w:rsid w:val="4F427DD6"/>
    <w:rsid w:val="4FC32AF2"/>
    <w:rsid w:val="50130639"/>
    <w:rsid w:val="501F5F44"/>
    <w:rsid w:val="503D4009"/>
    <w:rsid w:val="50561741"/>
    <w:rsid w:val="506C4F7A"/>
    <w:rsid w:val="507B60D8"/>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A55EB7"/>
    <w:rsid w:val="54B73456"/>
    <w:rsid w:val="554B2F51"/>
    <w:rsid w:val="5565570C"/>
    <w:rsid w:val="55766470"/>
    <w:rsid w:val="558B6EAE"/>
    <w:rsid w:val="559858A7"/>
    <w:rsid w:val="55F93A1B"/>
    <w:rsid w:val="55FB5A67"/>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F13CC0"/>
    <w:rsid w:val="5FFF0CF4"/>
    <w:rsid w:val="60024F00"/>
    <w:rsid w:val="60143105"/>
    <w:rsid w:val="6014671A"/>
    <w:rsid w:val="602E2FD1"/>
    <w:rsid w:val="60C211B9"/>
    <w:rsid w:val="60E85456"/>
    <w:rsid w:val="61212EEB"/>
    <w:rsid w:val="612569D8"/>
    <w:rsid w:val="612B6C21"/>
    <w:rsid w:val="613315A8"/>
    <w:rsid w:val="613C540F"/>
    <w:rsid w:val="6174522D"/>
    <w:rsid w:val="617C3A5E"/>
    <w:rsid w:val="62435525"/>
    <w:rsid w:val="625C221A"/>
    <w:rsid w:val="627273AC"/>
    <w:rsid w:val="62C92297"/>
    <w:rsid w:val="62CF1CB5"/>
    <w:rsid w:val="62DD260F"/>
    <w:rsid w:val="63307788"/>
    <w:rsid w:val="63A31776"/>
    <w:rsid w:val="63A67ACE"/>
    <w:rsid w:val="63B0159A"/>
    <w:rsid w:val="63C45248"/>
    <w:rsid w:val="63C914B2"/>
    <w:rsid w:val="63F04752"/>
    <w:rsid w:val="63FC4707"/>
    <w:rsid w:val="640A245D"/>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D72FA"/>
    <w:rsid w:val="66947B1D"/>
    <w:rsid w:val="66D607EF"/>
    <w:rsid w:val="66E95B54"/>
    <w:rsid w:val="66F32368"/>
    <w:rsid w:val="67072B43"/>
    <w:rsid w:val="671C049D"/>
    <w:rsid w:val="671C58B1"/>
    <w:rsid w:val="671D3626"/>
    <w:rsid w:val="6750254A"/>
    <w:rsid w:val="67604DC2"/>
    <w:rsid w:val="678E03A2"/>
    <w:rsid w:val="67CE48E7"/>
    <w:rsid w:val="684E705C"/>
    <w:rsid w:val="68795ADF"/>
    <w:rsid w:val="687A3291"/>
    <w:rsid w:val="68E054FC"/>
    <w:rsid w:val="68E50959"/>
    <w:rsid w:val="68ED1298"/>
    <w:rsid w:val="69004EC1"/>
    <w:rsid w:val="69134A68"/>
    <w:rsid w:val="69163C59"/>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87B41"/>
    <w:rsid w:val="6C531001"/>
    <w:rsid w:val="6C6B4DFB"/>
    <w:rsid w:val="6C722F07"/>
    <w:rsid w:val="6C7B248C"/>
    <w:rsid w:val="6C8859AD"/>
    <w:rsid w:val="6CCE6982"/>
    <w:rsid w:val="6CF61657"/>
    <w:rsid w:val="6D0620E4"/>
    <w:rsid w:val="6D792961"/>
    <w:rsid w:val="6D8C52D2"/>
    <w:rsid w:val="6DE04B94"/>
    <w:rsid w:val="6E565EDA"/>
    <w:rsid w:val="6E6506EE"/>
    <w:rsid w:val="6E800D39"/>
    <w:rsid w:val="6E92124D"/>
    <w:rsid w:val="6EF2535F"/>
    <w:rsid w:val="6EF7427F"/>
    <w:rsid w:val="6EFF623C"/>
    <w:rsid w:val="6F2A2D4B"/>
    <w:rsid w:val="6F2C3CC9"/>
    <w:rsid w:val="6F3F67BC"/>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B46619"/>
    <w:rsid w:val="71CE60A3"/>
    <w:rsid w:val="71CF5B58"/>
    <w:rsid w:val="71E46E51"/>
    <w:rsid w:val="71F049AF"/>
    <w:rsid w:val="71F55A87"/>
    <w:rsid w:val="720927D3"/>
    <w:rsid w:val="720D1449"/>
    <w:rsid w:val="723C09CC"/>
    <w:rsid w:val="726174E5"/>
    <w:rsid w:val="72A5479F"/>
    <w:rsid w:val="72AF11DE"/>
    <w:rsid w:val="73BE4628"/>
    <w:rsid w:val="73D94D40"/>
    <w:rsid w:val="73E32F46"/>
    <w:rsid w:val="74081181"/>
    <w:rsid w:val="740A05DE"/>
    <w:rsid w:val="740F6C81"/>
    <w:rsid w:val="741C5A1D"/>
    <w:rsid w:val="743441DC"/>
    <w:rsid w:val="74952A53"/>
    <w:rsid w:val="74AB25CF"/>
    <w:rsid w:val="74DB14EF"/>
    <w:rsid w:val="74E53270"/>
    <w:rsid w:val="74EF4CAE"/>
    <w:rsid w:val="7535243C"/>
    <w:rsid w:val="75662854"/>
    <w:rsid w:val="75A44310"/>
    <w:rsid w:val="75B73335"/>
    <w:rsid w:val="760D6F22"/>
    <w:rsid w:val="76120095"/>
    <w:rsid w:val="7633005D"/>
    <w:rsid w:val="76650C10"/>
    <w:rsid w:val="768C4FBB"/>
    <w:rsid w:val="768F4C3F"/>
    <w:rsid w:val="76F27F45"/>
    <w:rsid w:val="76FD1F28"/>
    <w:rsid w:val="77242776"/>
    <w:rsid w:val="77543DD8"/>
    <w:rsid w:val="775F37AE"/>
    <w:rsid w:val="77A411C1"/>
    <w:rsid w:val="77C61D92"/>
    <w:rsid w:val="77C65F49"/>
    <w:rsid w:val="77E141C3"/>
    <w:rsid w:val="785828CE"/>
    <w:rsid w:val="78647517"/>
    <w:rsid w:val="786951EB"/>
    <w:rsid w:val="78876707"/>
    <w:rsid w:val="78964FAD"/>
    <w:rsid w:val="78C95383"/>
    <w:rsid w:val="79240B36"/>
    <w:rsid w:val="79332791"/>
    <w:rsid w:val="79363BD7"/>
    <w:rsid w:val="79570BE0"/>
    <w:rsid w:val="795E52DB"/>
    <w:rsid w:val="7967694A"/>
    <w:rsid w:val="79C8563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ED79B6"/>
    <w:rsid w:val="7CF614A4"/>
    <w:rsid w:val="7D020E63"/>
    <w:rsid w:val="7D3C1D63"/>
    <w:rsid w:val="7D484A7E"/>
    <w:rsid w:val="7D5176F5"/>
    <w:rsid w:val="7DEE2688"/>
    <w:rsid w:val="7E135D37"/>
    <w:rsid w:val="7E323827"/>
    <w:rsid w:val="7E521976"/>
    <w:rsid w:val="7E8B6C36"/>
    <w:rsid w:val="7EF46DA2"/>
    <w:rsid w:val="7F264BB1"/>
    <w:rsid w:val="7F2B0EE4"/>
    <w:rsid w:val="7F493B90"/>
    <w:rsid w:val="7F5C4C19"/>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2875</Words>
  <Characters>2966</Characters>
  <Lines>70</Lines>
  <Paragraphs>19</Paragraphs>
  <TotalTime>1</TotalTime>
  <ScaleCrop>false</ScaleCrop>
  <LinksUpToDate>false</LinksUpToDate>
  <CharactersWithSpaces>2966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2025-11-04T01:21:01Z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