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203</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十一</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黑体" w:eastAsia="仿宋_GB2312" w:cs="仿宋_GB2312"/>
          <w:sz w:val="28"/>
          <w:szCs w:val="28"/>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[上海市住建委]关于进一步加快推进本市工程建设项目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开工建设的通知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b w:val="0"/>
          <w:bCs w:val="0"/>
          <w:sz w:val="21"/>
          <w:szCs w:val="21"/>
        </w:rPr>
        <w:t>沪建建管〔2022〕445号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各区建设管理（交通）委、特定地区管委会，各有关单位：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为深入贯彻市委、市政府决策部署，统筹推进疫情防控和经济社会发展工作，持续优化工程建设领域营商环境，助推建筑业经济恢复和健康发展，根据《关于印发&lt;关于加快本市建筑业恢复和重振的实施意见&gt;的通知》（沪建建管〔2022〕315号），现将进一步优化本市工程建设项目承发包管理，加快推进项目开工建设的有关工作通知如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一、桩基础招标发包的时限要求</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建设单位可以根据项目实际情况，自行选择单独开展桩基础工程施工发包。桩基础工程实施单独招标发包的，建设单位应当合理确定投标文件编制时间，招标文件自开始发售之日起至投标人提交投标文件截止时间止不得少于10日；补充招标文件自发出之日起至投标人提交投标文件截止时间止不得少于3日。对招标文件有异议的，投标人应当在投标文件截止时间2日前提出，招标人应当自收到异议之日起3日内作出答复；招标人作出答复前，应当暂停招标投标活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二、重大工程实行桩基础发包的范围</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纳入市、区政府和特定地区管委会的重大建设项目清单的房屋建筑工程，建设单位可以根据项目特点，在桩基础工程施工发包中包含相应的基坑围护措施，但与主体结构相结合的基坑支护结构除外。基坑维护措施包括基坑支护排桩、板桩围护墙、咬合桩围护墙、土钉墙、地下连续墙、重力式水泥土墙、土体加固、内支撑、锚杆（锚索）、地下水控制与降排水等。建设单位实行桩基础工程（包含相应的基坑围护措施)发包的，应当组织开展技术方案专项论证，配备相应的项目管理团队以及专业管理人员，明确基坑围护措施和主体结构的设计及施工的管理边界，负责统筹协调设计之间、施工之间和设计与施工之间的交接，并承担相应的质量安全风险。</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施工图审查机构应当对桩基础工程及其相应的基坑围护措施的施工图设计文件（含技术方案专项论证报告）加强审查；建设管理部门核发桩基础工程施工许可证时，应当依据施工图设计文件审查结果，载明配套的施工明细范围；市、区质量安全监督机构应当在桩基础工程施工阶段加强项目监管。</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三、整体发包的项目先行申请地下工程施工许可</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房屋建筑工程实行整体发包的，建设单位可以先行申请地下工程施工许可证。</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建设单位申请地下工程施工许可证时，应当向所辖建设管理部门在线提交包含相应地下工程的建设工程规划许可证、施工图设计文件审查合格证，以及核发施工许可证需要具备的其他法定要件和书面承诺，所辖建设管理部门受理后，依法办理施工许可手续。</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四、提前开展施工和监理招标</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　　对于工程可行性研究报告和初步设计合并审批的政府投资工程建设项目，在完成工程可行性研究（初步设计深度）评审报告后，如无重大技术、经济指标调整的，招标人可提前启动施工（或工程总承包）和监理招标，待工程可行性研究报告（初步设计深度）批复后，办理招标投标情况书面报告备案。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对于工程可行性研究和初步设计实行两阶段审批的政府投资工程建设项目，在完成初步设计评审报告后，如无重大技术、经济指标调整的，招标人可提前启动施工（或工程总承包）和监理招标，待初步设计批复完成后，办理招标投标情况书面报告备案。</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招标人提前启动招标时，应当向所辖招投标管理部门提交书面申请和风险承诺书。</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五、发布招标计划和开展评定分离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依法必须进行招标的项目，应当在首次开展施工招标前不少于30日发布项目施工招标计划。开展设计招标时，招标人可根据项目具体情况，自行选择“评定分离”的方式确定中标人；招标人选择“评定分离”的，评标专家在推荐中标候选人时不进行排序，招标人可以从中标候选人中择优确定中标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六、加强统筹协调和服务保障</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市、区建设管理（交通）委、特定地区管委会要充分依托工程建设项目审批审查中心和审批管理系统，加强清单管理、提前服务、动态跟踪，结合项目特点给予不同的定制服务。对于影响力大、显示度高、规模体量大的重大工程、重点产业类项目、房地产开发项目，要明确专人、主动跨前、精准服务。</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建设管理部门应当加强对建设单位落实承诺事项的监督检查。对执行不到位的，责令限期停工整改，并视情节轻重，依法追究相关单位的法律责任。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七、实施日期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本《通知》自发文之日起施行，有效期至2022年12月31日。有效期满后，市住房城乡建设管理委将会同相关单位进行后评估，酌情复制推广。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特此通知。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上海市住房和城乡建设管理委员会</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2022年9月6日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p>
    <w:p>
      <w:pPr>
        <w:spacing w:line="520" w:lineRule="exact"/>
        <w:jc w:val="center"/>
        <w:rPr>
          <w:rFonts w:hint="eastAsia" w:ascii="黑体" w:eastAsia="黑体" w:cs="黑体"/>
          <w:b/>
          <w:bCs/>
          <w:sz w:val="32"/>
          <w:szCs w:val="32"/>
        </w:rPr>
      </w:pPr>
      <w:r>
        <w:rPr>
          <w:rFonts w:hint="eastAsia" w:ascii="黑体" w:eastAsia="黑体" w:cs="黑体"/>
          <w:b/>
          <w:bCs/>
          <w:sz w:val="32"/>
          <w:szCs w:val="32"/>
        </w:rPr>
        <w:t>[住建部等部门]关于阶段性缓缴工程质量保证金的通知</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建办质电〔2022〕46号</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各省、自治区、直辖市和新疆生产建设兵团住房和城乡建设厅（委、管委、局）、交通运输厅（局、委）、水利厅（局），各地区铁路监管局，民航各地区管理局：</w:t>
      </w:r>
    </w:p>
    <w:p>
      <w:pPr>
        <w:spacing w:line="520" w:lineRule="exact"/>
        <w:ind w:firstLine="555"/>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为贯彻落实党中央、国务院关于稳定经济增长、稳定市场主体的决策部署，现就做好阶段性缓缴工程质量保证金有关事项通知如下：</w:t>
      </w:r>
    </w:p>
    <w:p>
      <w:pPr>
        <w:spacing w:line="520" w:lineRule="exact"/>
        <w:ind w:firstLine="555"/>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一、在2022年10月1日至12月31日期间应缴纳的各类工程质量保证金，自应缴之日起缓缴一个季度，建设单位不得以扣留工程款等方式收取工程质量保证金。对于缓缴的工程质量保证金，施工单位应在缓缴期满后及时补缴。补缴时可采用金融机构、担保机构保函（保险）的方式缴纳，任何单位不得排斥、限制或拒绝。</w:t>
      </w:r>
    </w:p>
    <w:p>
      <w:pPr>
        <w:spacing w:line="520" w:lineRule="exact"/>
        <w:ind w:firstLine="555"/>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二、各地要认真落实工程质量保证金缓缴政策，加强对缓缴落实情况的监督检查，确保政策落实落地。</w:t>
      </w:r>
    </w:p>
    <w:p>
      <w:pPr>
        <w:spacing w:line="520" w:lineRule="exact"/>
        <w:ind w:firstLine="555"/>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三、各地要加强工程建设项目质量保修责任落实情况的日常监管，督促施工单位严格履行保修事项，切实维护公共安全和公众利益。对缓缴政策实施中未履行保修责任的，依法依规严肃查处。</w:t>
      </w:r>
    </w:p>
    <w:p>
      <w:pPr>
        <w:spacing w:line="520" w:lineRule="exact"/>
        <w:ind w:firstLine="555"/>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请各地住房和城乡建设、交通运输、水利、铁路、民航主管部门于2023年1月10日前将本地区阶段性缓缴政策落实情况（缓缴金额等）分别报送住房和城乡建设部、交通运输部、水利部、国家铁路局、中国民用航空局。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[财政部等部门]关于扩大政府采购支持绿色建材促进建筑品质提升政策实施范围的通知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b w:val="0"/>
          <w:bCs w:val="0"/>
          <w:sz w:val="21"/>
          <w:szCs w:val="21"/>
        </w:rPr>
        <w:t>财库〔2022〕35号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各省、自治区、直辖市、计划单列市财政厅（局）、住房和城乡建设厅（委、管委、局）、工业和信息化主管部门，新疆生产建设兵团财政局、住房和城乡建设局、工业和信息化局：</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为落实《中共中央　国务院关于完整准确全面贯彻新发展理念做好碳达峰碳中和工作的意见》，加大绿色低碳产品采购力度，全面推广绿色建筑和绿色建材，在南京、杭州、绍兴、湖州、青岛、佛山等6个城市试点的基础上，财政部、住房城乡建设部、工业和信息化部决定进一步扩大政府采购支持绿色建材促进建筑品质提升政策实施范围。现将有关事项通知如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一、实施范围</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自2022年11月起，在北京市朝阳区等48个市（市辖区）实施政府采购支持绿色建材促进建筑品质提升政策（含此前6个试点城市，具体城市名单见附件1）。纳入政策实施范围的项目包括医院、学校、办公楼、综合体、展览馆、会展中心、体育馆、保障房等政府采购工程项目，含适用招标投标法的政府采购工程项目。各有关城市可选择部分项目先行实施，在总结经验的基础上逐步扩大范围，到2025年实现政府采购工程项目政策实施的全覆盖。鼓励将其他政府投资项目纳入实施范围。</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二、主要任务</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各有关城市要深入贯彻习近平生态文明思想，运用政府采购政策积极推广应用绿色建筑和绿色建材，大力发展装配式、智能化等新型建筑工业化建造方式，全面建设二星级以上绿色建筑，形成支持建筑领域绿色低碳转型的长效机制，引领建材和建筑产业高质量发展，着力打造宜居、绿色、低碳城市。</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落实政府采购政策要求。各有关城市要严格执行财政部、住房城乡建设部、工业和信息化部制定的《绿色建筑和绿色建材政府采购需求标准》（以下简称《需求标准》，见附件2）。项目立项阶段，要将《需求标准》有关要求嵌入项目建议书和可行性研究报告中；招标采购阶段，要将《需求标准》有关要求作为工程招标文件或采购文件以及合同文本的实质性要求，要求承包单位按合同约定进行设计、施工，并采购或使用符合要求的绿色建材；施工阶段，要强化施工现场监管，确保施工单位落实绿色建筑要求，使用符合《需求标准》的绿色建材；履约验收阶段，要根据《需求标准》制定相应的履约验收标准，并与现行验收程序有效融合。鼓励通过验收的项目申报绿色建筑标识，充分发挥政府采购工程项目的示范作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加强绿色建材采购管理。纳入政策实施范围的政府采购工程涉及使用《需求标准》中的绿色建材的，应当全部采购和使用符合相关标准的建材。各有关城市要探索实施对通用类绿色建材的批量集中采购，由政府集中采购机构或部门集中采购机构定期归集采购人的绿色建材采购计划，开展集中带量采购。要积极推进绿色建材电子化采购交易，所有符合条件的绿色建材产品均可进入电子平台交易，提高绿色建材采购效率和透明度。绿色建材供应商在供货时应当出具所提供建材产品符合需求标准的证明性文件，包括国家统一推行的绿色建材产品认证证书，或符合需求标准的有效检测报告等。</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完善绿色建筑和绿色建材政府采购需求标准。各有关城市可结合本地区特点和实际需求，提出优化完善《需求标准》有关内容的建议，包括调整《需求标准》中已包含的建材产品指标要求，增加未包含的建材产品需求标准，或者细化不同建筑类型如学校、医院等的需求标准等，报财政部、住房城乡建设部、工业和信息化部。财政部、住房城乡建设部、工业和信息化部将根据有关城市建议和政策执行情况，动态调整《需求标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优先开展工程价款结算。纳入政策实施范围的工程，要提高工程价款结算比例，工程进度款支付比例不低于已完工程价款的80%。推行施工过程结算，发承包双方通过合同约定，将施工过程按时间或进度节点划分施工周期，对周期内已完成且无争议的工程进行价款计算、确认和支付。经双方确认的过程结算文件作为竣工结算文件的组成部分，竣工后原则上不再重复审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三、工作要求</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明确部门职责。有关城市财政、住房和城乡建设、工业和信息化部门要各司其职，加强协调配合，形成政策合力。财政部门要组织采购人落实《需求标准》，指导集中采购机构开展绿色建材批量集中采购工作，加强对采购活动的监督管理。住房和城乡建设部门要加强对纳入政策实施范围的工程项目的监管，培育绿色建材应用示范工程和高品质绿色建筑项目。工业和信息化部门要结合区域特点，因地制宜发展绿色建材产业，培育绿色建材骨干企业和重点产品。</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精心组织实施。有关城市所在省级财政、住房和城乡建设、工业和信息化部门收到本通知后要及时转发至纳入政策实施范围城市的财政、住房和城乡建设、工业和信息化部门，切实加强对有关城市工作开展的指导。有关城市要根据政策要求，研究制定本地区实施方案，明确各有关部门的责任分工，完善组织协调机制，对实践中出现的问题要及时研究和妥善处理，确保扩大实施范围工作顺利推进，取得扎实成效。要积极总结工作经验，提炼可复制、可推广的先进经验和典型做法。</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加强宣传培训。各有关地方和部门要依据各自职责加强政策解读和宣传，及时回应社会关切，营造良好的工作氛围。要加强对建设单位、设计单位、建材企业、施工单位的政策解读和培训，调动相关各方的积极性。</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bookmarkStart w:id="0" w:name="_GoBack"/>
      <w:bookmarkEnd w:id="0"/>
      <w:r>
        <w:rPr>
          <w:rFonts w:hint="eastAsia" w:ascii="仿宋_GB2312" w:hAnsi="宋体" w:eastAsia="仿宋_GB2312" w:cs="仿宋_GB2312"/>
          <w:sz w:val="28"/>
          <w:szCs w:val="28"/>
        </w:rPr>
        <w:t>财政部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住房城乡建设部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工业和信息化部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2022年10月12日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s="仿宋_GB2312"/>
          <w:sz w:val="28"/>
          <w:szCs w:val="28"/>
        </w:rPr>
      </w:pP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10</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7</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上海赣崇建筑劳务工程有限公司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上海枫钰建筑工程有限公司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上海三策建筑装饰有限公司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上海上净环境科技有限公司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上海政优建筑工程有限公司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上海庚红防水防腐保温工程有限公司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劲旅（上海）实业有限公司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4</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2022/10/12</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上海苏淳智能科技有限公司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上海沣瀛建设工程有限公司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上海鸿瑞达建设工程有限公司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2022/10/24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上海鼎源胜建设工程有限公司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10</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2208JS0013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上海市金山区交通建设工程管理中心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区管公路预养护项目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上海金山公路建设有限公司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425.0029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上海湾区高新技术产业开发区管理委员会</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高新区中华路、横泾中心路提档升级工程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上海雄丰建设工程有限公司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972.0355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上海金山公共租赁住房投资运营有限公司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建邦华庭配套公租房装修项目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711.1109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6443.3</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山阳镇山倪路、向阳村路提档升级工程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1209.038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2022年“四好农村路”山阳镇 邓曙路、九龙盘厍路提档升级工程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883.8028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上海市金山区漕泾镇人民政府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漕泾镇阮巷路提档升级工程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上海朝华工程建设发展有限公司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398.222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上海湾区高新技术产业开发区管理委员会</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2022年“四好农村路”高新区老南欢路、红光中心路提档升级工程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1502.6281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上海市金山区张堰镇人民政府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2022年“四好农村路” 张堰镇秦阳路提档升级工程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上海朝华工程建设发展有限公司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770.7902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上海市金山区张堰镇人民政府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2022年“四好农村路” 张堰镇甪里中心路提档升级工程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上海金岭建设有限公司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853.3571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上海市金山区漕泾镇人民政府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漕泾镇护阮路等四条道路提档升级工程（标段一）</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上海金山城乡建设工程有限公司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749.2823</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上海市金山区漕泾镇人民政府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漕泾镇护阮路等四条道路提档升级工程（标段二）</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上海万津水利工程有限公司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643.0055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上海市金山区漕泾镇人民政府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2022年“四好农村路” 漕泾镇护阮路等四条道路提档升级工程（标段三）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上海万津水利工程有限公司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660.601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2022年“四好农村路”漕泾镇金蒋路提档升级工程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上海金山城乡建设工程有限公司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1323.9198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上海市金山区金山卫镇人民政府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金山卫镇新钱路、钱卫支路提档升级工程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上海万津水利工程有限公司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1769.161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2202JS0119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 年“四好农村路”亭林镇春前路、 亭荡路、寺北路提档升级工程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上海富巷建筑安装工程有限公司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1030.111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2202JS0118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 亭林镇浩光路等四条道路提档升级工程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上海金山城乡建设工程有限公司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1176.5865</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2202JS0117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上海市金山区亭林镇人民政府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2022年“四好农村路”亭林镇 亭北路、红梓路、金明路提档升级工程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1683.0391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2202JS0058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2022年枫泾镇住宅小区（芙蓉一村等11个小区）雨污混接改造工程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5560.5812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2202JS0045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朱泾镇新泾村乡村振兴示范村建设项目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上海金荥建筑装饰有限公司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1808.6384</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2202JS0025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山阳镇龙胜东路（杭州湾大道-亭卫南路）道路改扩建工程一标</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3226.0789</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2202JS0020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上海金山城市建设投资集团有限公司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金山区2022年度道路路灯新建工程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上海金山公路建设有限公司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2583.0066</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2202JS0019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上海富徽佳食品科技有限公司</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上海富徽佳食品科技有限公司厂房装修项目 </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上海市室内装潢工程有限公司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6438.6938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2202JS0005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上海市金山区山阳镇人民政府</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山阳镇C65地块核心区研兴路（渔江路-卫昌路）道路新建工程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上海永磐建设工程有限公司 </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2304.6684</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1902JS0008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上海金山卫城镇建设发展有限公司 </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金山卫镇龙湾路（海帆路﹣东平北路）道路新建工程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3449.8328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213288B"/>
    <w:rsid w:val="03BC59DA"/>
    <w:rsid w:val="04516B3B"/>
    <w:rsid w:val="05791EDF"/>
    <w:rsid w:val="06CA50C9"/>
    <w:rsid w:val="08341390"/>
    <w:rsid w:val="0B1D6673"/>
    <w:rsid w:val="0B4E3017"/>
    <w:rsid w:val="0C1358DB"/>
    <w:rsid w:val="0C4072B2"/>
    <w:rsid w:val="0C6943CE"/>
    <w:rsid w:val="0C913DEE"/>
    <w:rsid w:val="0CE42333"/>
    <w:rsid w:val="0CF812FB"/>
    <w:rsid w:val="12040402"/>
    <w:rsid w:val="121E0CDB"/>
    <w:rsid w:val="12DE76D6"/>
    <w:rsid w:val="13302586"/>
    <w:rsid w:val="16227A29"/>
    <w:rsid w:val="164F0F07"/>
    <w:rsid w:val="180B73EC"/>
    <w:rsid w:val="186C79F1"/>
    <w:rsid w:val="192C067E"/>
    <w:rsid w:val="1C3E6B3A"/>
    <w:rsid w:val="1FB5411C"/>
    <w:rsid w:val="20132385"/>
    <w:rsid w:val="21D1014B"/>
    <w:rsid w:val="21FD171C"/>
    <w:rsid w:val="22192EEA"/>
    <w:rsid w:val="223631D9"/>
    <w:rsid w:val="23985B7D"/>
    <w:rsid w:val="240B1B44"/>
    <w:rsid w:val="24BA7B81"/>
    <w:rsid w:val="24D67A68"/>
    <w:rsid w:val="25137716"/>
    <w:rsid w:val="25AA0F61"/>
    <w:rsid w:val="25EB7883"/>
    <w:rsid w:val="27E86D24"/>
    <w:rsid w:val="287A7AF8"/>
    <w:rsid w:val="28985322"/>
    <w:rsid w:val="29082BE0"/>
    <w:rsid w:val="29653143"/>
    <w:rsid w:val="29F82FA4"/>
    <w:rsid w:val="2A830A4B"/>
    <w:rsid w:val="2AF14141"/>
    <w:rsid w:val="2C3D01A9"/>
    <w:rsid w:val="2DCE4F2B"/>
    <w:rsid w:val="2E1C57D9"/>
    <w:rsid w:val="2EBC18D7"/>
    <w:rsid w:val="2F406F0F"/>
    <w:rsid w:val="30256E56"/>
    <w:rsid w:val="35842804"/>
    <w:rsid w:val="360C2046"/>
    <w:rsid w:val="36210EBF"/>
    <w:rsid w:val="393F6EB8"/>
    <w:rsid w:val="3A295D50"/>
    <w:rsid w:val="3B810EA5"/>
    <w:rsid w:val="3C3830A0"/>
    <w:rsid w:val="3CD80572"/>
    <w:rsid w:val="3DAE0540"/>
    <w:rsid w:val="3EEF3FD4"/>
    <w:rsid w:val="40100826"/>
    <w:rsid w:val="40DC529E"/>
    <w:rsid w:val="40E47BD9"/>
    <w:rsid w:val="411418B8"/>
    <w:rsid w:val="41525EBB"/>
    <w:rsid w:val="42111102"/>
    <w:rsid w:val="4235558B"/>
    <w:rsid w:val="42A955DC"/>
    <w:rsid w:val="4517259F"/>
    <w:rsid w:val="460D0B20"/>
    <w:rsid w:val="463C47AB"/>
    <w:rsid w:val="479B6B83"/>
    <w:rsid w:val="479E743D"/>
    <w:rsid w:val="48346454"/>
    <w:rsid w:val="485859AE"/>
    <w:rsid w:val="48A879B7"/>
    <w:rsid w:val="49494CF1"/>
    <w:rsid w:val="49565ECD"/>
    <w:rsid w:val="49B91C4A"/>
    <w:rsid w:val="4D7033AA"/>
    <w:rsid w:val="4DB7601E"/>
    <w:rsid w:val="501F5F44"/>
    <w:rsid w:val="50561741"/>
    <w:rsid w:val="50D57DCE"/>
    <w:rsid w:val="51310559"/>
    <w:rsid w:val="523D1A16"/>
    <w:rsid w:val="52AA78F9"/>
    <w:rsid w:val="53850ED7"/>
    <w:rsid w:val="53D77E97"/>
    <w:rsid w:val="54882672"/>
    <w:rsid w:val="554B2F51"/>
    <w:rsid w:val="559858A7"/>
    <w:rsid w:val="57A072AA"/>
    <w:rsid w:val="598A68C4"/>
    <w:rsid w:val="5A660AA8"/>
    <w:rsid w:val="5A78122E"/>
    <w:rsid w:val="5A8E7565"/>
    <w:rsid w:val="5ADC7A61"/>
    <w:rsid w:val="5B1907BC"/>
    <w:rsid w:val="5B7275CC"/>
    <w:rsid w:val="5B9104C7"/>
    <w:rsid w:val="5BC762BA"/>
    <w:rsid w:val="5BD347B4"/>
    <w:rsid w:val="5CF266B4"/>
    <w:rsid w:val="5D0B240E"/>
    <w:rsid w:val="5F7A64AD"/>
    <w:rsid w:val="5FFF0CF4"/>
    <w:rsid w:val="612569D8"/>
    <w:rsid w:val="627273AC"/>
    <w:rsid w:val="62C92297"/>
    <w:rsid w:val="63C914B2"/>
    <w:rsid w:val="64411A2D"/>
    <w:rsid w:val="65B15244"/>
    <w:rsid w:val="67604DC2"/>
    <w:rsid w:val="678E03A2"/>
    <w:rsid w:val="684E705C"/>
    <w:rsid w:val="68795ADF"/>
    <w:rsid w:val="68E054FC"/>
    <w:rsid w:val="695B2A0A"/>
    <w:rsid w:val="69F947B9"/>
    <w:rsid w:val="6A492C8A"/>
    <w:rsid w:val="6AD80078"/>
    <w:rsid w:val="6B0F3DE5"/>
    <w:rsid w:val="6B5C47B6"/>
    <w:rsid w:val="6C531001"/>
    <w:rsid w:val="6EF2535F"/>
    <w:rsid w:val="6F2C3CC9"/>
    <w:rsid w:val="6FB5108B"/>
    <w:rsid w:val="6FDE2EF2"/>
    <w:rsid w:val="70F003C1"/>
    <w:rsid w:val="71804C51"/>
    <w:rsid w:val="718777FB"/>
    <w:rsid w:val="71B46619"/>
    <w:rsid w:val="71CF5B58"/>
    <w:rsid w:val="72A5479F"/>
    <w:rsid w:val="741C5A1D"/>
    <w:rsid w:val="74952A53"/>
    <w:rsid w:val="75A44310"/>
    <w:rsid w:val="760D6F22"/>
    <w:rsid w:val="768F4C3F"/>
    <w:rsid w:val="76F27F45"/>
    <w:rsid w:val="786951EB"/>
    <w:rsid w:val="79363BD7"/>
    <w:rsid w:val="795E52DB"/>
    <w:rsid w:val="7A6B77E1"/>
    <w:rsid w:val="7AE93251"/>
    <w:rsid w:val="7C330DA6"/>
    <w:rsid w:val="7CED79B6"/>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6392</Words>
  <Characters>7079</Characters>
  <Lines>70</Lines>
  <Paragraphs>19</Paragraphs>
  <TotalTime>6</TotalTime>
  <ScaleCrop>false</ScaleCrop>
  <LinksUpToDate>false</LinksUpToDate>
  <CharactersWithSpaces>7251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2022-11-07T02:07:01Z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3D09A2A0B7C74A05829434CAF778D436</vt:lpwstr>
  </property>
</Properties>
</file>