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202</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月十</w:t>
      </w:r>
      <w:r>
        <w:rPr>
          <w:rFonts w:hint="eastAsia" w:ascii="仿宋_GB2312" w:hAnsi="宋体" w:eastAsia="仿宋_GB2312" w:cs="仿宋_GB2312"/>
          <w:color w:val="000000"/>
          <w:sz w:val="28"/>
          <w:szCs w:val="28"/>
          <w:lang w:val="en-US" w:eastAsia="zh-CN"/>
        </w:rPr>
        <w:t>八</w:t>
      </w:r>
      <w:bookmarkStart w:id="0" w:name="_GoBack"/>
      <w:bookmarkEnd w:id="0"/>
      <w:r>
        <w:rPr>
          <w:rFonts w:hint="eastAsia" w:ascii="仿宋_GB2312" w:hAnsi="宋体" w:eastAsia="仿宋_GB2312" w:cs="仿宋_GB2312"/>
          <w:color w:val="000000"/>
          <w:sz w:val="28"/>
          <w:szCs w:val="28"/>
        </w:rPr>
        <w:t>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pPr>
      <w:r>
        <w:rPr>
          <w:rFonts w:hint="eastAsia"/>
        </w:rPr>
        <w:t>【协会工作】</w:t>
      </w:r>
    </w:p>
    <w:p>
      <w:pPr>
        <w:spacing w:line="520" w:lineRule="exact"/>
        <w:jc w:val="center"/>
        <w:rPr>
          <w:rFonts w:ascii="黑体" w:eastAsia="黑体"/>
          <w:b/>
          <w:bCs/>
          <w:sz w:val="32"/>
          <w:szCs w:val="32"/>
        </w:rPr>
      </w:pPr>
    </w:p>
    <w:p>
      <w:pPr>
        <w:spacing w:line="520" w:lineRule="exact"/>
        <w:jc w:val="center"/>
        <w:rPr>
          <w:rFonts w:ascii="黑体" w:eastAsia="黑体"/>
          <w:b/>
          <w:bCs/>
          <w:sz w:val="32"/>
          <w:szCs w:val="32"/>
        </w:rPr>
      </w:pPr>
      <w:r>
        <w:rPr>
          <w:rFonts w:hint="eastAsia" w:ascii="黑体" w:eastAsia="黑体" w:cs="黑体"/>
          <w:b/>
          <w:bCs/>
          <w:sz w:val="32"/>
          <w:szCs w:val="32"/>
        </w:rPr>
        <w:t>区建筑联合协会组织部分会员单位有关人员</w:t>
      </w:r>
    </w:p>
    <w:p>
      <w:pPr>
        <w:spacing w:line="520" w:lineRule="exact"/>
        <w:jc w:val="center"/>
        <w:rPr>
          <w:rFonts w:ascii="黑体" w:eastAsia="黑体"/>
          <w:b/>
          <w:bCs/>
          <w:sz w:val="32"/>
          <w:szCs w:val="32"/>
        </w:rPr>
      </w:pPr>
      <w:r>
        <w:rPr>
          <w:rFonts w:hint="eastAsia" w:ascii="黑体" w:eastAsia="黑体" w:cs="黑体"/>
          <w:b/>
          <w:bCs/>
          <w:sz w:val="32"/>
          <w:szCs w:val="32"/>
        </w:rPr>
        <w:t>赴</w:t>
      </w:r>
      <w:r>
        <w:rPr>
          <w:rFonts w:hint="eastAsia" w:ascii="黑体" w:eastAsia="黑体" w:cs="黑体"/>
          <w:b/>
          <w:bCs/>
          <w:sz w:val="32"/>
          <w:szCs w:val="32"/>
          <w:lang w:val="en-US" w:eastAsia="zh-CN"/>
        </w:rPr>
        <w:t>上海工人疗养院</w:t>
      </w:r>
      <w:r>
        <w:rPr>
          <w:rFonts w:hint="eastAsia" w:ascii="黑体" w:eastAsia="黑体" w:cs="黑体"/>
          <w:b/>
          <w:bCs/>
          <w:sz w:val="32"/>
          <w:szCs w:val="32"/>
        </w:rPr>
        <w:t>进行健康体检</w:t>
      </w:r>
    </w:p>
    <w:p>
      <w:pPr>
        <w:spacing w:line="520" w:lineRule="exact"/>
        <w:ind w:firstLine="560" w:firstLineChars="200"/>
        <w:rPr>
          <w:rFonts w:ascii="仿宋_GB2312" w:hAnsi="黑体" w:eastAsia="仿宋_GB2312"/>
          <w:sz w:val="28"/>
          <w:szCs w:val="28"/>
        </w:rPr>
      </w:pPr>
      <w:r>
        <w:rPr>
          <w:rFonts w:hint="eastAsia" w:ascii="仿宋_GB2312" w:hAnsi="黑体" w:eastAsia="仿宋_GB2312" w:cs="仿宋_GB2312"/>
          <w:sz w:val="28"/>
          <w:szCs w:val="28"/>
        </w:rPr>
        <w:t>由于建筑施工行业特点，部分会员单位员工亚健康状态比较突出，为体现协会对各会员单位的关心，切实保障各会员单位员工的身体健康，协会坚持每年组织部分会员单位有关人员进行健康体检。</w:t>
      </w:r>
    </w:p>
    <w:p>
      <w:pPr>
        <w:spacing w:line="520" w:lineRule="exact"/>
        <w:ind w:firstLine="555"/>
        <w:rPr>
          <w:rFonts w:hint="eastAsia" w:ascii="仿宋_GB2312" w:hAnsi="黑体" w:eastAsia="仿宋_GB2312" w:cs="仿宋_GB2312"/>
          <w:sz w:val="28"/>
          <w:szCs w:val="28"/>
        </w:rPr>
      </w:pPr>
      <w:r>
        <w:rPr>
          <w:rFonts w:hint="eastAsia" w:ascii="仿宋_GB2312" w:hAnsi="黑体" w:eastAsia="仿宋_GB2312" w:cs="仿宋_GB2312"/>
          <w:sz w:val="28"/>
          <w:szCs w:val="28"/>
          <w:lang w:val="en-US" w:eastAsia="zh-CN"/>
        </w:rPr>
        <w:t>9</w:t>
      </w:r>
      <w:r>
        <w:rPr>
          <w:rFonts w:hint="eastAsia" w:ascii="仿宋_GB2312" w:hAnsi="黑体" w:eastAsia="仿宋_GB2312" w:cs="仿宋_GB2312"/>
          <w:sz w:val="28"/>
          <w:szCs w:val="28"/>
        </w:rPr>
        <w:t>月</w:t>
      </w:r>
      <w:r>
        <w:rPr>
          <w:rFonts w:hint="eastAsia" w:ascii="仿宋_GB2312" w:hAnsi="黑体" w:eastAsia="仿宋_GB2312" w:cs="仿宋_GB2312"/>
          <w:sz w:val="28"/>
          <w:szCs w:val="28"/>
          <w:lang w:val="en-US" w:eastAsia="zh-CN"/>
        </w:rPr>
        <w:t>2</w:t>
      </w:r>
      <w:r>
        <w:rPr>
          <w:rFonts w:ascii="仿宋_GB2312" w:hAnsi="黑体" w:eastAsia="仿宋_GB2312" w:cs="仿宋_GB2312"/>
          <w:sz w:val="28"/>
          <w:szCs w:val="28"/>
        </w:rPr>
        <w:t>0</w:t>
      </w:r>
      <w:r>
        <w:rPr>
          <w:rFonts w:hint="eastAsia" w:ascii="仿宋_GB2312" w:hAnsi="黑体" w:eastAsia="仿宋_GB2312" w:cs="仿宋_GB2312"/>
          <w:sz w:val="28"/>
          <w:szCs w:val="28"/>
        </w:rPr>
        <w:t>日</w:t>
      </w:r>
      <w:r>
        <w:rPr>
          <w:rFonts w:ascii="仿宋_GB2312" w:hAnsi="黑体" w:eastAsia="仿宋_GB2312" w:cs="仿宋_GB2312"/>
          <w:sz w:val="28"/>
          <w:szCs w:val="28"/>
        </w:rPr>
        <w:t>-</w:t>
      </w:r>
      <w:r>
        <w:rPr>
          <w:rFonts w:hint="eastAsia" w:ascii="仿宋_GB2312" w:hAnsi="黑体" w:eastAsia="仿宋_GB2312" w:cs="仿宋_GB2312"/>
          <w:sz w:val="28"/>
          <w:szCs w:val="28"/>
          <w:lang w:val="en-US" w:eastAsia="zh-CN"/>
        </w:rPr>
        <w:t>2</w:t>
      </w:r>
      <w:r>
        <w:rPr>
          <w:rFonts w:ascii="仿宋_GB2312" w:hAnsi="黑体" w:eastAsia="仿宋_GB2312" w:cs="仿宋_GB2312"/>
          <w:sz w:val="28"/>
          <w:szCs w:val="28"/>
        </w:rPr>
        <w:t>1</w:t>
      </w:r>
      <w:r>
        <w:rPr>
          <w:rFonts w:hint="eastAsia" w:ascii="仿宋_GB2312" w:hAnsi="黑体" w:eastAsia="仿宋_GB2312" w:cs="仿宋_GB2312"/>
          <w:sz w:val="28"/>
          <w:szCs w:val="28"/>
        </w:rPr>
        <w:t>日，协会组织了</w:t>
      </w:r>
      <w:r>
        <w:rPr>
          <w:rFonts w:hint="eastAsia" w:ascii="仿宋_GB2312" w:hAnsi="黑体" w:eastAsia="仿宋_GB2312" w:cs="仿宋_GB2312"/>
          <w:sz w:val="28"/>
          <w:szCs w:val="28"/>
          <w:lang w:val="en-US" w:eastAsia="zh-CN"/>
        </w:rPr>
        <w:t>12</w:t>
      </w:r>
      <w:r>
        <w:rPr>
          <w:rFonts w:hint="eastAsia" w:ascii="仿宋_GB2312" w:hAnsi="黑体" w:eastAsia="仿宋_GB2312" w:cs="仿宋_GB2312"/>
          <w:sz w:val="28"/>
          <w:szCs w:val="28"/>
        </w:rPr>
        <w:t>家会员单位共</w:t>
      </w:r>
      <w:r>
        <w:rPr>
          <w:rFonts w:hint="eastAsia" w:ascii="仿宋_GB2312" w:hAnsi="黑体" w:eastAsia="仿宋_GB2312" w:cs="仿宋_GB2312"/>
          <w:sz w:val="28"/>
          <w:szCs w:val="28"/>
          <w:lang w:val="en-US" w:eastAsia="zh-CN"/>
        </w:rPr>
        <w:t>30</w:t>
      </w:r>
      <w:r>
        <w:rPr>
          <w:rFonts w:hint="eastAsia" w:ascii="仿宋_GB2312" w:hAnsi="黑体" w:eastAsia="仿宋_GB2312" w:cs="仿宋_GB2312"/>
          <w:sz w:val="28"/>
          <w:szCs w:val="28"/>
        </w:rPr>
        <w:t>人赴</w:t>
      </w:r>
      <w:r>
        <w:rPr>
          <w:rFonts w:hint="eastAsia" w:ascii="仿宋_GB2312" w:hAnsi="黑体" w:eastAsia="仿宋_GB2312" w:cs="仿宋_GB2312"/>
          <w:sz w:val="28"/>
          <w:szCs w:val="28"/>
          <w:lang w:val="en-US" w:eastAsia="zh-CN"/>
        </w:rPr>
        <w:t>上海工人疗养院</w:t>
      </w:r>
      <w:r>
        <w:rPr>
          <w:rFonts w:hint="eastAsia" w:ascii="仿宋_GB2312" w:hAnsi="黑体" w:eastAsia="仿宋_GB2312" w:cs="仿宋_GB2312"/>
          <w:sz w:val="28"/>
          <w:szCs w:val="28"/>
        </w:rPr>
        <w:t>进行一年一度的健康体检。通过体检活动使参检人员能及时了解自身健康状况，发现问题能及时进行复查医疗，达到早日康复目的，得到了会员单位的一致好评。同时体检活动也为会员单位之间学习和交流搭建了平台，进一步增强了会员单位之间的兄弟情谊。</w:t>
      </w:r>
      <w:r>
        <w:rPr>
          <w:rFonts w:ascii="仿宋_GB2312" w:hAnsi="黑体" w:eastAsia="仿宋_GB2312" w:cs="仿宋_GB2312"/>
          <w:sz w:val="28"/>
          <w:szCs w:val="28"/>
        </w:rPr>
        <w:t xml:space="preserve">  </w:t>
      </w:r>
      <w:r>
        <w:rPr>
          <w:rFonts w:hint="eastAsia" w:ascii="仿宋_GB2312" w:hAnsi="黑体" w:eastAsia="仿宋_GB2312" w:cs="仿宋_GB2312"/>
          <w:sz w:val="28"/>
          <w:szCs w:val="28"/>
        </w:rPr>
        <w:t>（协会秘书处）</w:t>
      </w:r>
    </w:p>
    <w:p>
      <w:pPr>
        <w:spacing w:line="520" w:lineRule="exact"/>
        <w:ind w:firstLine="555"/>
        <w:rPr>
          <w:rFonts w:hint="eastAsia" w:ascii="仿宋_GB2312" w:hAnsi="黑体" w:eastAsia="仿宋_GB2312" w:cs="仿宋_GB2312"/>
          <w:sz w:val="28"/>
          <w:szCs w:val="28"/>
        </w:rPr>
      </w:pP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[住建部]关于进一步做好建筑工人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就业服务和权益保障工作的通知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val="0"/>
          <w:bCs w:val="0"/>
          <w:sz w:val="21"/>
          <w:szCs w:val="21"/>
        </w:rPr>
        <w:t>建办市〔2022〕40号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各省、自治区住房和城乡建设厅，直辖市住房和城乡建设（管）委，新疆生产建设兵团住房和城乡建设局：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建筑业是国民经济支柱产业，在吸纳农村转移劳动力就业、推进新型城镇化建设和促进农民增收等方面发挥了重要作用。为深入贯彻落实党中央、国务院决策部署，促进建筑工人稳定就业，保障建筑工人合法权益，统筹做好房屋市政工程建设领域安全生产和民生保障工作，现将有关事项通知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一、加强职业培训，提升建筑工人技能水平</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提升建筑工人专业知识和技能水平。各地住房和城乡建设主管部门要积极推进建筑工人职业技能培训，引导龙头建筑企业积极探索与高职院校合作办学、建设建筑产业工人培育基地等模式，将技能培训、实操训练、考核评价与现场施工有机结合。鼓励建筑企业和建筑工人采用师傅带徒弟、个人自学与集中辅导相结合等多种方式，突出培训的针对性和实用性，提高一线操作人员的技能水平。引导建筑企业将技能水平与薪酬挂钩，实现技高者多得、多劳者多得。</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全面实施技能工人配备标准。各地住房和城乡建设主管部门要按照《关于开展施工现场技能工人配备标准制定工作的通知》（建办市〔2021〕29号）要求，全面实施施工现场技能工人配备标准，将施工现场技能工人配备标准达标情况作为在建项目建筑市场及工程质量安全检查的重要内容，推动施工现场配足配齐技能工人，保障工程质量安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二、加强岗位指引，促进建筑工人有序管理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强化岗位风险分析和工作指引。各地住房和城乡建设主管部门要统筹房屋市政工程建设领域行业特点和农民工个体差异等因素，针对建筑施工多为重体力劳动、对人员健康条件和身体状况要求较高等特点，强化岗位指引，引导建筑企业逐步建立建筑工人用工分类管理制度。对建筑电工、架子工等特种作业和高风险作业岗位的从业人员要严格落实相关规定，确保从业人员安全作业，减少安全事故隐患；对一般作业岗位，要尊重农民工就业需求和建筑企业用工需要，根据企业、项目和岗位的具体情况合理安排工作，切实维护好农民工就业权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积极拓宽就业渠道。各地住房和城乡建设主管部门要主动作为，积极配合人力资源社会保障、工会等部门，为不适宜继续从事建筑活动的农民工，提供符合市场需求、易学易用的培训信息，开展有针对性的职业技能培训和就业指导，引导其在环卫、物业等劳动强度低、安全风险小的领域就业，拓宽就业渠道。</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三、加强纾困解难，增加建筑工人就业岗位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以工代赈促进建筑工人就业增收。各地住房和城乡建设主管部门要配合人力资源社会保障部门严格落实阶段性缓缴农民工工资保证金要求，提高建设工程进度款支付比例，进一步降低建筑企业负担，促进建筑企业复工复产，有效增加建筑工人就业岗位。依托以工代赈专项投资项目，在确保工程质量安全和符合进度要求等前提下，结合本地建筑工人务工需求，充分挖掘用工潜力，通过以工代赈帮助建筑工人就近务工实现就业增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四、加强安全教育，保障建筑工人合法权益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压实安全生产主体责任。各地住房和城乡建设主管部门要督促建筑企业建立健全施工现场安全管理制度，严格落实安全生产主体责任，对进入施工现场从事施工作业的建筑工人，按规定进行安全生产教育培训，不断提高建筑工人的安全生产意识和技能水平，减少违规指挥、违章作业和违反劳动纪律等行为，有效遏制生产安全事故，保障建筑工人生命安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改善建筑工人安全生产条件。各地住房和城乡建设主管部门要督促建筑企业认真落实《建筑施工安全检查标准》（JGJ59-2011）、《建设工程施工现场环境与卫生标准》（JGJ146-2013）等规范标准，配备符合行业标准的安全帽、安全带等具有防护功能的劳动保护用品，持续改善建筑工人安全生产条件和作业环境。落实好建筑工人参加工伤保险政策，进一步扩大工伤保险覆盖面。</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持续规范建筑市场秩序。各地住房和城乡建设主管部门要依法加强行业监管，严厉打击转包挂靠等违法违规行为，持续规范建筑市场秩序。联合人力资源社会保障等部门用好工程建设领域工资专用账户、农民工工资保证金、维权信息公示等政策措施，保证农民工工资支付，维护建筑工人合法权益。加强劳动就业和社会保障法律法规政策宣传，帮助建筑工人了解自身权益，提高维权和安全意识，依法理性维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各地住房和城乡建设主管部门要提高思想认识，加强组织领导，明确目标任务，利用多种形式宣传相关政策，积极回应社会关切和建筑工人诉求，合理引导预期，切实做好建筑工人就业服务和权益保障工作。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住房和城乡建设部办公厅</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2022年8月29日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[上海市住建委]关于进一步做好本市工程建设领域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信用信息修复工作的通知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val="0"/>
          <w:bCs w:val="0"/>
          <w:sz w:val="21"/>
          <w:szCs w:val="21"/>
        </w:rPr>
        <w:t>沪建建管〔2022〕447号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各有关单位：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为进一步优化本市工程建设领域营商环境，更大程度地激发市场主体活力，完善本市建设工程企业的信用修复标准和程序，根据《关于进一步做好本市公共信用信息修复工作的若干意见（试行）》（沪府办规〔2021〕1号）（以下简称《信用信息修复若干意见》）和《上海市加快经济恢复和重振行动方案》（沪府规〔2022〕5号）等政策文件的规定，对本市工程建设领域信用信息修复有关事宜规定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一、管理职责</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上海市住房和城乡建设管理委员会(以下简称市住房城乡建设管理委)负责本市工程建设领域信用修复的综合协调和监督管理，并具体负责市住房城乡建设管理委作出的涉及工程建设领域行政处罚的信用信息修复工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区建设行政管理部门、特定地区管委会按照职责分工，负责各自作出的涉及工程建设领域行政处罚等信用信息修复工作。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二、信用信息修复工作原则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本市工程建设领域信用修复按照“谁产生、谁负责，谁处罚、谁修复”的原则，由原行政处罚（或原行政行为）作出单位负责信用信息修复申请的受理、审查、决定、意见反馈等工作。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三、失信行为类别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（一）特定严重失信行为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存在下列情形之一的，属于特定严重失信行为：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1.因较大及以上安全事故被建设行政管理部门处以行政处罚的，但处以罚款的除外；</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2.因围标串标、出借和借用资质等行为，情节严重的，被各级建设行政管理部门处以责令停产停业、吊销许可证、取消1至2年内参加依法必须进行招标项目的投标资格等行政处罚的；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3.因提供虚假执业注册人员及职称人员等信息，或盗用冒用个人信息，或提供虚假材料等行为申请行政许可，被各级建设行政管理部门处以行政处罚的；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4.被各级建设行政管理部门吊销资质证书的；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5.根据《信用信息修复若干意见》规定的五年查询期限内不可修复的其他失信信息。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（二）较严重失信行为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有下列情形之一的，属于较严重失信行为：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1.因一般安全事故被建设行政管理部门处以行政处罚的，但处以罚款的除外；；</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2.因围标串标、出借和借用资质等行为，被各级建设行政管理部门处以罚款的行政处罚的；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3.违反安全、工程质量相关规定，被各级建设行政管理部门处以听证以上行政处罚的。</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（三）轻微失信行为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除特定严重和较严重失信行为以外，被各级建设行政管理部门处以行政处罚的其它失信行为。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四、信用信息修复的条件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（一）不可信用修复的情形</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特定严重失信行为的失信信用信息，在五年查询期内不可修复。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（二）可信用修复的情形</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除不可信用修复情形外，可修复信用信息应当符合下列条件：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1.属于轻微失信行为的，信息公示期满三个月且期间未产生新的同一情形的失信信息；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2.因发生一般安全事故，被各级建设行政管理部门处以行政处罚的，信息公示期满六个月或者十二个月，方可申请信用信息修复。其中，发生1人死亡事故的，信息公示期满六个月；发生2人死亡事故的，信息公示期满十二个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3.属于较严重的其他失信行为的，信息公示期满六个月且期间未产生新的同一情形的失信信息。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申请人申请修复行政处罚信息的，应当已按照国家或本市要求参加信用修复培训并提交信用报告，并作出信用承诺。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发生一般安全事故的，在公示期六个月或十二个月内，申请人再次发生一般安全生产事故的，公示期按原公示期加倍计算；在首次公示期内，再次发生两起及以上安全事故的，第一起被暂扣安全生产许可证的失信信息在五年查询期内不予修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五、申请办理流程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申请人可通过“一网通办”平台、“信用中国（上海）”网站或者前往市公共信用信息服务中心（以下简称市信用中心），按照《信用信息修复若干意见》的规定提交修复申请。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级建设行政管理部门自收到市信用中心函告之日起2个工作日内，审查申请文件的完整性和规范性，并决定是否受理。申请材料不齐全或者形式不符合要求的，原行政处罚（原行政许可）作出单位应当一次性告知申请人补正相关材料，补正后符合要求的，予以受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原行政处罚（原行政许可）作出单位应当自受理之日起5个工作日内完成审核认定，并向市信用中心反馈信用修复意见。情况复杂的，可以适当延长，并告知市信用中心，延长期限不超过3个工作日。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各级建设行政管理部门自出具同意修复意见之日起的5个工作日内，撤下本单位门户网站等公示的失信信息。法律、行政法规以及部门规章另有规定的除外。对于已开展信用评价的行业，完成信用修复不改变相关信息的信用评价结果。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六、实施日期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本通知自2022年9月15日实施，有效期至2027年9月14日。原《关于印发&lt;上海市工程建设领域信用信息修复标准&gt;的通知》（沪建建管〔2021〕273号）予以废止。</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2022年9月6日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9</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12</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上海漕安交通器材有限公司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公路交通工程（公路安全设施工程）二级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上海黎辰环保科技有限公司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上海沐鹏建筑工程有限公司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上海湘辉防水工程有限公司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华鸽文化传媒（上海）有限公司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上海骋怀建筑工程有限公司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上海嶅轩智能科技有限公司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上海鸿昇门窗有限公司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上海宇利实业有限公司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上海钰齐建筑工程有限公司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上海喆帛安防技术有限公司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上海正闪数字科技有限公司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3</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上海锦湾电力设备工程有限公司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上海启居建设工程有限公司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2022/9/23</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蔚湃建筑科技（上海）有限公司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9</w:t>
      </w:r>
      <w:r>
        <w:rPr>
          <w:rFonts w:hint="eastAsia" w:ascii="黑体" w:eastAsia="黑体" w:cs="黑体"/>
          <w:b/>
          <w:bCs/>
          <w:sz w:val="32"/>
          <w:szCs w:val="32"/>
        </w:rPr>
        <w:t>月金山区建设工程施工招投标项目清单</w:t>
      </w: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漕泾镇水库路等四条道路提档升级工程（一标段）</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上海益线通建设工程有限公司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681.6666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漕泾镇水库路等四条道路提档升级工程(二标段）</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862.5917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上海市金山区廊下镇人民政府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廊下镇山塘中心路提档升级工程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上海水工建设工程有限公司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426.8315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吕巷镇红光路、白漾村路提档升级工程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金工建设集团股份有限公司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1780.9294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吕巷镇爱五路、吕青路提档升级工程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1402.9219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上海市金山区吕巷镇人民政府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2022年“四好农村路”吕巷镇南戚路、六桥路、溪联路提档升级工程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江西省锦浩建设工程有限公司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1824.6888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2022年“四好农村路”金山卫镇建元路、 南石村路、横浦村中心路提档升级工程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上海海湾建筑装潢有限公司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1042.0052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2022年“四好农村路”枫泾镇兴北支路等九条道路提档升级工程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上海康熠建筑工程有限公司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3293.0355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吕巷镇光辉支路等三条道路提档升级工程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上海富巷建筑安装工程有限公司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1766.38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2022年“四好农村路”吕巷镇干钱路等三条道路提档升级工程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江西省锦浩建设工程有限公司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1158.8888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上海市金山区吕巷镇人民政府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 年“四好农村路”吕巷镇蔷荚路、 蒋古中心路提档升级工程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上海富巷建筑安装工程有限公司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1650.0906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2022年“四好农村路”朱泾镇王家滩路等四条道路提档升级工程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上海金岭建设有限公司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2770.7799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2202JS0109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上海市金山区朱泾镇人民政府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2022年“四好农村路”朱泾镇万联路等九条道路提档升级工程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上海金山市政工程有限公司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2295.8899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上海金山新城区建设发展有限公司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金山滨海国际文化旅游度假区滨海新片区地基处理工程（一期）</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上海市基础工程集团有限公司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19300.5889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2202JS0101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2022年“四好农村路”朱泾镇万枫路（万安桥-五号桥）提档升级工程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2333.8848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2202JS0093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上海市金山区交通运输事业发展中心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金山滨海地区道路缓拥堵项目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1673.8105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2202JS0081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上海金山土地开发服务有限公司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亭林名悦商业广场影院装修项目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上海成寿建设发展有限公司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1286.5626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2022年亭林镇住宅小区雨污混接改造工程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915.002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上海市金山区吕巷镇人民政府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2022年吕巷镇住宅小区雨污混接改造工程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上海富巷建筑安装工程有限公司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426.2806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27074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2022年枫泾镇住宅小区（枫阳小区等14个小区）雨污混接改造工程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4888.9112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上海湾区高新技术产业开发区管理委员会</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2022年金山工业区住宅小区雨污混接改造工程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1469.8061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2202JS0031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时科生物科技（上海）有限公司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金山区农业废弃物资源化综合利用基地建设项目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上海新钧建设发展有限公司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1841.689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11886</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2022年山阳镇住宅小区雨污混接改造工程（一标段）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1619.0212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2022年山阳镇住宅小区雨污混接改造工程（三标段）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上海金山侨茂综合工程有限公司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2486.8687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上海金山卫城镇建设发展有限公司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金山卫镇海帆路（龙堰路-龙湾路） 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上海金鼎市政工程建设有限公司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1239.8611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1702JS0145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上海金山新城区建设发展有限公司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金山新城龙湾路（海盛路-海丰路）道路工程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上海弗田建设发展有限公司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2080.8287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3BC59DA"/>
    <w:rsid w:val="04516B3B"/>
    <w:rsid w:val="05791EDF"/>
    <w:rsid w:val="06CA50C9"/>
    <w:rsid w:val="08341390"/>
    <w:rsid w:val="0B1D6673"/>
    <w:rsid w:val="0B4E3017"/>
    <w:rsid w:val="0C1358DB"/>
    <w:rsid w:val="0C6943CE"/>
    <w:rsid w:val="0C913DEE"/>
    <w:rsid w:val="0CE42333"/>
    <w:rsid w:val="0CF812FB"/>
    <w:rsid w:val="12040402"/>
    <w:rsid w:val="121E0CDB"/>
    <w:rsid w:val="12DE76D6"/>
    <w:rsid w:val="13302586"/>
    <w:rsid w:val="16227A29"/>
    <w:rsid w:val="164F0F07"/>
    <w:rsid w:val="180B73EC"/>
    <w:rsid w:val="186C79F1"/>
    <w:rsid w:val="192C067E"/>
    <w:rsid w:val="1FB5411C"/>
    <w:rsid w:val="20132385"/>
    <w:rsid w:val="21D1014B"/>
    <w:rsid w:val="21FD171C"/>
    <w:rsid w:val="22192EEA"/>
    <w:rsid w:val="223631D9"/>
    <w:rsid w:val="23985B7D"/>
    <w:rsid w:val="240B1B44"/>
    <w:rsid w:val="24BA7B81"/>
    <w:rsid w:val="24D67A68"/>
    <w:rsid w:val="25137716"/>
    <w:rsid w:val="27E86D24"/>
    <w:rsid w:val="287A7AF8"/>
    <w:rsid w:val="28985322"/>
    <w:rsid w:val="29082BE0"/>
    <w:rsid w:val="29653143"/>
    <w:rsid w:val="29F82FA4"/>
    <w:rsid w:val="2A830A4B"/>
    <w:rsid w:val="2C3D01A9"/>
    <w:rsid w:val="2DCE4F2B"/>
    <w:rsid w:val="2EBC18D7"/>
    <w:rsid w:val="2F406F0F"/>
    <w:rsid w:val="30256E56"/>
    <w:rsid w:val="35842804"/>
    <w:rsid w:val="360C2046"/>
    <w:rsid w:val="36210EBF"/>
    <w:rsid w:val="393F6EB8"/>
    <w:rsid w:val="3A295D50"/>
    <w:rsid w:val="3C3830A0"/>
    <w:rsid w:val="3CD80572"/>
    <w:rsid w:val="3DAE0540"/>
    <w:rsid w:val="3EEF3FD4"/>
    <w:rsid w:val="40100826"/>
    <w:rsid w:val="40DC529E"/>
    <w:rsid w:val="40E47BD9"/>
    <w:rsid w:val="411418B8"/>
    <w:rsid w:val="41525EBB"/>
    <w:rsid w:val="42111102"/>
    <w:rsid w:val="4235558B"/>
    <w:rsid w:val="42A955DC"/>
    <w:rsid w:val="4517259F"/>
    <w:rsid w:val="460D0B20"/>
    <w:rsid w:val="463C47AB"/>
    <w:rsid w:val="479B6B83"/>
    <w:rsid w:val="479E743D"/>
    <w:rsid w:val="48346454"/>
    <w:rsid w:val="485859AE"/>
    <w:rsid w:val="49494CF1"/>
    <w:rsid w:val="49565ECD"/>
    <w:rsid w:val="49B91C4A"/>
    <w:rsid w:val="4D7033AA"/>
    <w:rsid w:val="4DB7601E"/>
    <w:rsid w:val="501F5F44"/>
    <w:rsid w:val="50561741"/>
    <w:rsid w:val="50D57DCE"/>
    <w:rsid w:val="51310559"/>
    <w:rsid w:val="523D1A16"/>
    <w:rsid w:val="52AA78F9"/>
    <w:rsid w:val="53850ED7"/>
    <w:rsid w:val="53D77E97"/>
    <w:rsid w:val="54882672"/>
    <w:rsid w:val="554B2F51"/>
    <w:rsid w:val="559858A7"/>
    <w:rsid w:val="57A072AA"/>
    <w:rsid w:val="598A68C4"/>
    <w:rsid w:val="5A660AA8"/>
    <w:rsid w:val="5A78122E"/>
    <w:rsid w:val="5A8E7565"/>
    <w:rsid w:val="5ADC7A61"/>
    <w:rsid w:val="5B1907BC"/>
    <w:rsid w:val="5B7275CC"/>
    <w:rsid w:val="5B9104C7"/>
    <w:rsid w:val="5BC762BA"/>
    <w:rsid w:val="5BD347B4"/>
    <w:rsid w:val="5CF266B4"/>
    <w:rsid w:val="5D0B240E"/>
    <w:rsid w:val="5F7A64AD"/>
    <w:rsid w:val="5FFF0CF4"/>
    <w:rsid w:val="612569D8"/>
    <w:rsid w:val="627273AC"/>
    <w:rsid w:val="62C92297"/>
    <w:rsid w:val="63C914B2"/>
    <w:rsid w:val="64411A2D"/>
    <w:rsid w:val="65B15244"/>
    <w:rsid w:val="67604DC2"/>
    <w:rsid w:val="678E03A2"/>
    <w:rsid w:val="684E705C"/>
    <w:rsid w:val="68795ADF"/>
    <w:rsid w:val="68E054FC"/>
    <w:rsid w:val="695B2A0A"/>
    <w:rsid w:val="69F947B9"/>
    <w:rsid w:val="6AD80078"/>
    <w:rsid w:val="6B0F3DE5"/>
    <w:rsid w:val="6B5C47B6"/>
    <w:rsid w:val="6C531001"/>
    <w:rsid w:val="6EF2535F"/>
    <w:rsid w:val="6F2C3CC9"/>
    <w:rsid w:val="6FB5108B"/>
    <w:rsid w:val="70F003C1"/>
    <w:rsid w:val="71804C51"/>
    <w:rsid w:val="71B46619"/>
    <w:rsid w:val="71CF5B58"/>
    <w:rsid w:val="72A5479F"/>
    <w:rsid w:val="741C5A1D"/>
    <w:rsid w:val="74952A53"/>
    <w:rsid w:val="75A44310"/>
    <w:rsid w:val="760D6F22"/>
    <w:rsid w:val="768F4C3F"/>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6109</Words>
  <Characters>6888</Characters>
  <Lines>70</Lines>
  <Paragraphs>19</Paragraphs>
  <TotalTime>5</TotalTime>
  <ScaleCrop>false</ScaleCrop>
  <LinksUpToDate>false</LinksUpToDate>
  <CharactersWithSpaces>7159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2022-10-17T00:58:51Z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3D09A2A0B7C74A05829434CAF778D436</vt:lpwstr>
  </property>
</Properties>
</file>