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六</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19</w:t>
      </w:r>
      <w:r>
        <w:rPr>
          <w:rFonts w:hint="eastAsia" w:ascii="仿宋_GB2312" w:hAnsi="宋体" w:eastAsia="仿宋_GB2312" w:cs="仿宋_GB2312"/>
          <w:color w:val="000000"/>
          <w:sz w:val="28"/>
          <w:szCs w:val="28"/>
          <w:lang w:val="en-US" w:eastAsia="zh-CN"/>
        </w:rPr>
        <w:t>9</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七</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napToGrid w:val="0"/>
        <w:spacing w:line="520" w:lineRule="exact"/>
        <w:jc w:val="both"/>
        <w:rPr>
          <w:rFonts w:hint="eastAsia" w:cs="黑体"/>
        </w:rPr>
      </w:pPr>
      <w:r>
        <w:rPr>
          <w:rFonts w:hint="eastAsia" w:cs="黑体"/>
        </w:rPr>
        <w:t>【公示公告】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宋体" w:eastAsia="黑体"/>
          <w:b/>
          <w:sz w:val="32"/>
          <w:szCs w:val="32"/>
        </w:rPr>
      </w:pPr>
      <w:r>
        <w:rPr>
          <w:rFonts w:hint="eastAsia" w:ascii="黑体" w:hAnsi="宋体" w:eastAsia="黑体"/>
          <w:b/>
          <w:sz w:val="32"/>
          <w:szCs w:val="32"/>
        </w:rPr>
        <w:t>关于公布202</w:t>
      </w:r>
      <w:r>
        <w:rPr>
          <w:rFonts w:hint="eastAsia" w:ascii="黑体" w:hAnsi="宋体" w:eastAsia="黑体"/>
          <w:b/>
          <w:sz w:val="32"/>
          <w:szCs w:val="32"/>
          <w:lang w:val="en-US" w:eastAsia="zh-CN"/>
        </w:rPr>
        <w:t>1</w:t>
      </w:r>
      <w:r>
        <w:rPr>
          <w:rFonts w:hint="eastAsia" w:ascii="黑体" w:hAnsi="宋体" w:eastAsia="黑体"/>
          <w:b/>
          <w:sz w:val="32"/>
          <w:szCs w:val="32"/>
        </w:rPr>
        <w:t>年度区优质结构工程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宋体" w:eastAsia="黑体"/>
          <w:b/>
          <w:sz w:val="32"/>
          <w:szCs w:val="32"/>
        </w:rPr>
      </w:pPr>
      <w:r>
        <w:rPr>
          <w:rFonts w:hint="eastAsia" w:ascii="黑体" w:hAnsi="宋体" w:eastAsia="黑体"/>
          <w:b/>
          <w:sz w:val="32"/>
          <w:szCs w:val="32"/>
        </w:rPr>
        <w:t>获奖名单的通知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根据《金山区建设工程优质结构工程评选办法》的规定，金山区优质结构评审委员会按照有关规定、标准进行评审，经我会审定，共有</w:t>
      </w:r>
      <w:r>
        <w:rPr>
          <w:rFonts w:hint="eastAsia" w:ascii="仿宋_GB2312" w:hAnsi="宋体" w:eastAsia="仿宋_GB2312" w:cs="仿宋_GB2312"/>
          <w:sz w:val="28"/>
          <w:szCs w:val="28"/>
          <w:lang w:val="en-US" w:eastAsia="zh-CN"/>
        </w:rPr>
        <w:t>金山新城G4地块动迁安置房项目2号楼</w:t>
      </w:r>
      <w:r>
        <w:rPr>
          <w:rFonts w:hint="eastAsia" w:ascii="仿宋_GB2312" w:hAnsi="宋体" w:eastAsia="仿宋_GB2312" w:cs="仿宋_GB2312"/>
          <w:sz w:val="28"/>
          <w:szCs w:val="28"/>
        </w:rPr>
        <w:t>等</w:t>
      </w:r>
      <w:r>
        <w:rPr>
          <w:rFonts w:hint="eastAsia" w:ascii="仿宋_GB2312" w:hAnsi="宋体" w:eastAsia="仿宋_GB2312" w:cs="仿宋_GB2312"/>
          <w:sz w:val="28"/>
          <w:szCs w:val="28"/>
          <w:lang w:val="en-US" w:eastAsia="zh-CN"/>
        </w:rPr>
        <w:t>37</w:t>
      </w:r>
      <w:r>
        <w:rPr>
          <w:rFonts w:hint="eastAsia" w:ascii="仿宋_GB2312" w:hAnsi="宋体" w:eastAsia="仿宋_GB2312" w:cs="仿宋_GB2312"/>
          <w:sz w:val="28"/>
          <w:szCs w:val="28"/>
        </w:rPr>
        <w:t>项工程获202</w:t>
      </w:r>
      <w:r>
        <w:rPr>
          <w:rFonts w:hint="eastAsia" w:ascii="仿宋_GB2312" w:hAnsi="宋体" w:eastAsia="仿宋_GB2312" w:cs="仿宋_GB2312"/>
          <w:sz w:val="28"/>
          <w:szCs w:val="28"/>
          <w:lang w:val="en-US" w:eastAsia="zh-CN"/>
        </w:rPr>
        <w:t>1</w:t>
      </w:r>
      <w:r>
        <w:rPr>
          <w:rFonts w:hint="eastAsia" w:ascii="仿宋_GB2312" w:hAnsi="宋体" w:eastAsia="仿宋_GB2312" w:cs="仿宋_GB2312"/>
          <w:sz w:val="28"/>
          <w:szCs w:val="28"/>
        </w:rPr>
        <w:t>年度区优质结构工程，现予公布。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名单如下：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2786"/>
        <w:gridCol w:w="1348"/>
        <w:gridCol w:w="799"/>
        <w:gridCol w:w="1203"/>
        <w:gridCol w:w="113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544"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工程名称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建筑面积（㎡）</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结构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类型</w:t>
            </w:r>
          </w:p>
        </w:tc>
        <w:tc>
          <w:tcPr>
            <w:tcW w:w="66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施工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建设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w:t>
            </w:r>
          </w:p>
        </w:tc>
        <w:tc>
          <w:tcPr>
            <w:tcW w:w="750"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监理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金山区枫泾镇JSFJ010104单元10A-01A地块商品房项目一标段13#楼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5096.88</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华锦建设集团股份有限公司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上海华璟枫宸房地产开发有限公司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上海百通项目管理咨询有限公司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漕河泾综合保税区（金山功能区）标准厂房二标段1号标准厂房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7705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上海建溧建设集团有限公司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上海建浩工程顾问有限公司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漕河泾综合保税区（金山功能区）标准厂房二标段5号标准厂房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3685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上海建溧建设集团有限公司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上海建浩工程顾问有限公司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4</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上海市金山区龙堰路幼儿园新建工程</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7048</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上海新钧建设发展有限公司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上海市金山区校产基建设备管理中心</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上海嘉豪建设监理有限公司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5</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上海（金山）国际中小企业产业园（二期）1#厂房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8985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6</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上海（金山）国际中小企业产业园（二期）2#厂房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7503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上海（金山）国际中小企业产业园（二期）3#厂房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6599</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8</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上海（金山）国际中小企业产业园（二期）4#厂房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8139</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上海（金山）国际中小企业产业园（二期）5#厂房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12211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10</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上海（金山）国际中小企业产业园（二期）6#厂房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10134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11</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上海（金山）国际中小企业产业园（二期）7#厂房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11514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12</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上海（金山）国际中小企业产业园（二期）8#厂房</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12623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八冶建设集团有限公司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上海金工企业发展有限公司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13</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金山新城G4地块动迁安置房项目2号楼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9422.04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14</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金山新城G4地块动迁安置房项目3号楼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9433.55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15</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金山新城G4地块动迁安置房项目6号楼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9422.04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16</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金山新城G4地块动迁安置房项目7号楼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9433.55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17</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金山新城G4地块动迁安置房项目13号楼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9422.04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18</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金山新城G4地块动迁安置房项目15号楼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7896.42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19</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金山新城G4地块动迁安置房项目17号楼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7816.73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20</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金山新城G4地块动迁安置房项目19号楼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7975.63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21</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金山新城G4地块动迁安置房项目22号楼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9433.55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上海鑫置置业有限公司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22</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金山区公共服务租赁性配套用房项目2#楼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9169.65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上海地产住房发展有限公司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23</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金山区公共服务租赁性配套用房项目5#楼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9052.05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上海建工一建集团有限公司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上海地产住房发展有限公司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24</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山阳镇C65地块核心区研荣路（渔江路—卫昌路）道路新建工程</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594.19米</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道路工程</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上海雄丰建设工程有限公司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上海市金山区山阳镇人民政府</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上海鼎翱建设工程咨询有限公司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25</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上海市金山区水上新村幼儿园新建工程</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6670</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上海梓达建设工程有限公司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上海金山校产基建设备管理中心</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上海世安工程建设咨询有限公司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26</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金山新城JSC1-0401单元1-13A-01地块项目二标段工程35#楼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7466.88</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上海海宏建设集团有限公司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上海华碧置业有限公司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上海住远建设工程监理有限公司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27</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金山新城JSC1-0401单元1-13A-01地块项目二标段工程36#楼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7454.84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上海海宏建设集团有限公司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上海华碧置业有限公司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上海住远建设工程监理有限公司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28</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金山新城JSC1-0401单元1-13A-01地块项目二标段工程37#楼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7393.11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上海海宏建设集团有限公司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上海华碧置业有限公司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上海住远建设工程监理有限公司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29</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金山新城JSC1-0401单元1-13A-01地块项目二标段工程38#楼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9009.41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上海海宏建设集团有限公司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上海华碧置业有限公司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上海住远建设工程监理有限公司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30</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上海廊下联发实业有限公司上海廊下健康食品科技产业园投资项目综合楼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6599.07</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上海金岭建设有限公司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上海廊下联发实业有限公司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31</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劲霸枫泾酒店（暂定名）北地块工程K栋</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29060.1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浙江双堰建设有限公司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劲达房地产置业（上海)有限公司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上海严翔建设咨询有限公司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32</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劲霸枫泾酒店（暂定名）北地块工程L栋</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3163.58</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浙江双堰建设有限公司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劲达房地产置业（上海)有限公司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上海严翔建设咨询有限公司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33</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金山区年产8500吨农产品加工扩建项目</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7937.12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钢框架结构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上海伟浩建设工程有限公司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上海鑫博海农副产品加工有限公司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34</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金山新城JSC10201单元20-07地块金山租赁房项目1#楼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9853.34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上海建工五建集团有限公司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上海金山房屋经营有限公司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上海华城工程建设管理有限公司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35</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金山区朱泾镇镇区B18-03地块12#楼</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5020</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装配式剪力墙结构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上海建工七建集团有限公司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上海城展置业有限公司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36</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新增20万个汽车零部件扩建项目</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8743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上海金都建设集团有限公司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上海若海汽车零部件有限公司</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9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37</w:t>
            </w:r>
          </w:p>
        </w:tc>
        <w:tc>
          <w:tcPr>
            <w:tcW w:w="15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上海市金山区龙航路幼儿园新建工程</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7185.6</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框架结构</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上海金山城乡建设工程有限公司</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上海金山校产基建设备管理中心</w:t>
            </w:r>
          </w:p>
        </w:tc>
        <w:tc>
          <w:tcPr>
            <w:tcW w:w="75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上海中亚建设工程监理有限公司</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eastAsia="黑体"/>
          <w:b/>
          <w:sz w:val="32"/>
          <w:szCs w:val="32"/>
        </w:rPr>
      </w:pPr>
      <w:r>
        <w:rPr>
          <w:rFonts w:hint="eastAsia" w:ascii="黑体" w:eastAsia="黑体"/>
          <w:b/>
          <w:sz w:val="32"/>
          <w:szCs w:val="32"/>
        </w:rPr>
        <w:t>关于公布202</w:t>
      </w:r>
      <w:r>
        <w:rPr>
          <w:rFonts w:hint="eastAsia" w:ascii="黑体" w:eastAsia="黑体"/>
          <w:b/>
          <w:sz w:val="32"/>
          <w:szCs w:val="32"/>
          <w:lang w:val="en-US" w:eastAsia="zh-CN"/>
        </w:rPr>
        <w:t>1</w:t>
      </w:r>
      <w:r>
        <w:rPr>
          <w:rFonts w:hint="eastAsia" w:ascii="黑体" w:eastAsia="黑体"/>
          <w:b/>
          <w:sz w:val="32"/>
          <w:szCs w:val="32"/>
        </w:rPr>
        <w:t>年度区建设工程“金山杯”奖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eastAsia="黑体"/>
          <w:b/>
          <w:sz w:val="32"/>
          <w:szCs w:val="32"/>
        </w:rPr>
      </w:pPr>
      <w:r>
        <w:rPr>
          <w:rFonts w:hint="eastAsia" w:ascii="黑体" w:eastAsia="黑体"/>
          <w:b/>
          <w:sz w:val="32"/>
          <w:szCs w:val="32"/>
        </w:rPr>
        <w:t>（区优质工程）获奖名单的通知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根据《金山区建设工程金山杯奖评选办法》的规定，金山区建设工程金山杯奖评选委员会工作小组对申报2021年度金山杯的工程项目进行了预审，金山区建设工程金山杯奖评选委员会组织评委按照有关规范、标准进行了评审，经我会审定批准，共有海玥瀜庭-16#楼等4项工程荣获2021年度金山区建设工程“金山杯”奖，现予公布。</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名单如下：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lang w:val="en-US" w:eastAsia="zh-CN"/>
        </w:rPr>
      </w:pPr>
      <w:bookmarkStart w:id="0" w:name="_GoBack"/>
      <w:bookmarkEnd w:id="0"/>
    </w:p>
    <w:tbl>
      <w:tblPr>
        <w:tblStyle w:val="25"/>
        <w:tblW w:w="5111"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1995"/>
        <w:gridCol w:w="1311"/>
        <w:gridCol w:w="1881"/>
        <w:gridCol w:w="190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52" w:hRule="exact"/>
        </w:trPr>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工程名称</w:t>
            </w:r>
          </w:p>
        </w:tc>
        <w:tc>
          <w:tcPr>
            <w:tcW w:w="71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建筑面积</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施工单位</w:t>
            </w:r>
          </w:p>
        </w:tc>
        <w:tc>
          <w:tcPr>
            <w:tcW w:w="104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建设单位</w:t>
            </w:r>
          </w:p>
        </w:tc>
        <w:tc>
          <w:tcPr>
            <w:tcW w:w="110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1094"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海玥瀜庭-16#楼</w:t>
            </w:r>
          </w:p>
        </w:tc>
        <w:tc>
          <w:tcPr>
            <w:tcW w:w="719"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6379.3㎡</w:t>
            </w:r>
          </w:p>
        </w:tc>
        <w:tc>
          <w:tcPr>
            <w:tcW w:w="1031"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上海建工二建集团有限公司</w:t>
            </w:r>
          </w:p>
        </w:tc>
        <w:tc>
          <w:tcPr>
            <w:tcW w:w="1046"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上海金腾房产有限公司</w:t>
            </w:r>
          </w:p>
        </w:tc>
        <w:tc>
          <w:tcPr>
            <w:tcW w:w="1107"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1094"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海玥瀜庭-17#楼</w:t>
            </w:r>
          </w:p>
        </w:tc>
        <w:tc>
          <w:tcPr>
            <w:tcW w:w="719"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15711.42㎡</w:t>
            </w:r>
          </w:p>
        </w:tc>
        <w:tc>
          <w:tcPr>
            <w:tcW w:w="1031"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上海建工二建集团有限公司</w:t>
            </w:r>
          </w:p>
        </w:tc>
        <w:tc>
          <w:tcPr>
            <w:tcW w:w="1046"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上海金腾房产有限公司</w:t>
            </w:r>
          </w:p>
        </w:tc>
        <w:tc>
          <w:tcPr>
            <w:tcW w:w="1107"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1094"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海玥瀜庭-29#楼</w:t>
            </w:r>
          </w:p>
        </w:tc>
        <w:tc>
          <w:tcPr>
            <w:tcW w:w="719"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8525.32㎡</w:t>
            </w:r>
          </w:p>
        </w:tc>
        <w:tc>
          <w:tcPr>
            <w:tcW w:w="1031"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上海建工二建集团有限公司</w:t>
            </w:r>
          </w:p>
        </w:tc>
        <w:tc>
          <w:tcPr>
            <w:tcW w:w="1046"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上海金腾房产有限公司</w:t>
            </w:r>
          </w:p>
        </w:tc>
        <w:tc>
          <w:tcPr>
            <w:tcW w:w="1107"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1094"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山阳镇C65地块核心区妍荣路（渔江路—卫昌路）道路新建工程</w:t>
            </w:r>
          </w:p>
        </w:tc>
        <w:tc>
          <w:tcPr>
            <w:tcW w:w="719"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594.19m</w:t>
            </w:r>
          </w:p>
        </w:tc>
        <w:tc>
          <w:tcPr>
            <w:tcW w:w="1031"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上海雄丰建设工程有限公司</w:t>
            </w:r>
          </w:p>
        </w:tc>
        <w:tc>
          <w:tcPr>
            <w:tcW w:w="1046"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上海市金山区山阳镇人民政府</w:t>
            </w:r>
          </w:p>
        </w:tc>
        <w:tc>
          <w:tcPr>
            <w:tcW w:w="1107" w:type="pct"/>
            <w:noWrap w:val="0"/>
            <w:vAlign w:val="center"/>
          </w:tcPr>
          <w:p>
            <w:pPr>
              <w:snapToGrid w:val="0"/>
              <w:spacing w:line="240" w:lineRule="atLeast"/>
              <w:jc w:val="center"/>
              <w:textAlignment w:val="center"/>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上海鼎翱建设工程咨询有限公司</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b/>
          <w:sz w:val="32"/>
          <w:szCs w:val="32"/>
        </w:rPr>
      </w:pPr>
      <w:r>
        <w:rPr>
          <w:rFonts w:hint="eastAsia" w:ascii="黑体" w:eastAsia="黑体"/>
          <w:b/>
          <w:sz w:val="32"/>
          <w:szCs w:val="32"/>
        </w:rPr>
        <w:t>关于公布金山区建筑业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eastAsia="黑体"/>
          <w:b/>
          <w:sz w:val="32"/>
          <w:szCs w:val="32"/>
        </w:rPr>
      </w:pPr>
      <w:r>
        <w:rPr>
          <w:rFonts w:hint="eastAsia" w:ascii="黑体" w:eastAsia="黑体"/>
          <w:b/>
          <w:sz w:val="32"/>
          <w:szCs w:val="32"/>
        </w:rPr>
        <w:t>202</w:t>
      </w:r>
      <w:r>
        <w:rPr>
          <w:rFonts w:hint="eastAsia" w:ascii="黑体" w:eastAsia="黑体"/>
          <w:b/>
          <w:sz w:val="32"/>
          <w:szCs w:val="32"/>
          <w:lang w:val="en-US" w:eastAsia="zh-CN"/>
        </w:rPr>
        <w:t>1</w:t>
      </w:r>
      <w:r>
        <w:rPr>
          <w:rFonts w:hint="eastAsia" w:ascii="黑体" w:eastAsia="黑体"/>
          <w:b/>
          <w:sz w:val="32"/>
          <w:szCs w:val="32"/>
        </w:rPr>
        <w:t>年度优秀施工企业名单的通知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根据《金山区优秀</w:t>
      </w:r>
      <w:r>
        <w:rPr>
          <w:rFonts w:hint="eastAsia" w:ascii="仿宋_GB2312" w:hAnsi="宋体" w:eastAsia="仿宋_GB2312" w:cs="仿宋_GB2312"/>
          <w:b w:val="0"/>
          <w:bCs w:val="0"/>
          <w:sz w:val="28"/>
          <w:szCs w:val="28"/>
          <w:lang w:val="en-US" w:eastAsia="zh-CN"/>
        </w:rPr>
        <w:t>施工企</w:t>
      </w:r>
      <w:r>
        <w:rPr>
          <w:rFonts w:hint="eastAsia" w:ascii="仿宋_GB2312" w:hAnsi="宋体" w:eastAsia="仿宋_GB2312" w:cs="仿宋_GB2312"/>
          <w:sz w:val="28"/>
          <w:szCs w:val="28"/>
          <w:lang w:val="en-US" w:eastAsia="zh-CN"/>
        </w:rPr>
        <w:t>业评选暂行办法》的有关规定，结合各会员企业在2021年度企业诚信、安全质量、文明施工、民工工资等方面综合情况，经评委评审下列10家企业荣获2021年度金山区建筑业优秀施工企业。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名单公布如下:</w:t>
      </w:r>
    </w:p>
    <w:p>
      <w:pPr>
        <w:spacing w:line="100" w:lineRule="exact"/>
        <w:ind w:firstLine="551" w:firstLineChars="196"/>
        <w:rPr>
          <w:rFonts w:hint="eastAsia" w:ascii="宋体" w:hAnsi="宋体"/>
          <w:b/>
          <w:bCs/>
          <w:sz w:val="28"/>
          <w:szCs w:val="28"/>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2"/>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企业名称</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上海金山公路建设有限公司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上海金山石油化工建筑有限公司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上海梓达建设工程有限公司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上海城博建设工程有限公司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上海永磐建设工程有限公司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上海金岭建设有限公司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上海金山侨茂综合工程有限公司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上海聚盛建筑工程有限公司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jc w:val="center"/>
              <w:rPr>
                <w:rFonts w:ascii="仿宋_GB2312" w:hAnsi="宋体" w:eastAsia="仿宋_GB2312"/>
                <w:sz w:val="28"/>
                <w:szCs w:val="28"/>
              </w:rPr>
            </w:pPr>
            <w:r>
              <w:rPr>
                <w:rFonts w:hint="eastAsia" w:ascii="仿宋_GB2312" w:hAnsi="宋体" w:eastAsia="仿宋_GB2312"/>
                <w:bCs/>
                <w:sz w:val="28"/>
                <w:szCs w:val="28"/>
              </w:rPr>
              <w:t>上海伟浩建设工程有限公司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上海石化金艺工业建设有限公司</w:t>
            </w:r>
          </w:p>
        </w:tc>
        <w:tc>
          <w:tcPr>
            <w:tcW w:w="1983" w:type="pct"/>
            <w:noWrap w:val="0"/>
            <w:vAlign w:val="center"/>
          </w:tcPr>
          <w:p>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b/>
          <w:sz w:val="32"/>
          <w:szCs w:val="32"/>
        </w:rPr>
      </w:pPr>
      <w:r>
        <w:rPr>
          <w:rFonts w:hint="eastAsia" w:ascii="黑体" w:eastAsia="黑体"/>
          <w:b/>
          <w:sz w:val="32"/>
          <w:szCs w:val="32"/>
        </w:rPr>
        <w:t>关于公布金山区建筑业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eastAsia="黑体"/>
          <w:b/>
          <w:sz w:val="32"/>
          <w:szCs w:val="32"/>
        </w:rPr>
      </w:pPr>
      <w:r>
        <w:rPr>
          <w:rFonts w:hint="eastAsia" w:ascii="黑体" w:eastAsia="黑体"/>
          <w:b/>
          <w:sz w:val="32"/>
          <w:szCs w:val="32"/>
        </w:rPr>
        <w:t>202</w:t>
      </w:r>
      <w:r>
        <w:rPr>
          <w:rFonts w:hint="eastAsia" w:ascii="黑体" w:eastAsia="黑体"/>
          <w:b/>
          <w:sz w:val="32"/>
          <w:szCs w:val="32"/>
          <w:lang w:val="en-US" w:eastAsia="zh-CN"/>
        </w:rPr>
        <w:t>1</w:t>
      </w:r>
      <w:r>
        <w:rPr>
          <w:rFonts w:hint="eastAsia" w:ascii="黑体" w:eastAsia="黑体"/>
          <w:b/>
          <w:sz w:val="32"/>
          <w:szCs w:val="32"/>
        </w:rPr>
        <w:t>年度优秀建材企业名单的通知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根据《金山区建筑业优秀建材企业评选试行办法》的有关规定，结合各会员企业在2021年度企业诚信、产品质量、民工工资等方面综合情况，经评委评审下列2家企业荣获2021年度金山区建筑业优秀建材企业。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名单公布如下: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1、上海国林建材有限公司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2、上海漕源建材贸易有限公司</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lang w:val="en-US" w:eastAsia="zh-CN"/>
        </w:rPr>
      </w:pP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6</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2</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2022/6/20</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上海威显盾安全防范科技有限公司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2022/6/20</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上海想瀛建筑工程有限公司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2022/6/20</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上海吉悠谷建设工程有限公司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模板脚手架工程不分级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6</w:t>
      </w:r>
      <w:r>
        <w:rPr>
          <w:rFonts w:hint="eastAsia" w:ascii="黑体" w:eastAsia="黑体" w:cs="黑体"/>
          <w:b/>
          <w:bCs/>
          <w:sz w:val="32"/>
          <w:szCs w:val="32"/>
        </w:rPr>
        <w:t>月金山区建设工程施工招投标项目清单</w:t>
      </w:r>
    </w:p>
    <w:p>
      <w:pPr>
        <w:snapToGrid w:val="0"/>
        <w:spacing w:line="240" w:lineRule="atLeast"/>
        <w:jc w:val="both"/>
        <w:rPr>
          <w:rFonts w:ascii="黑体" w:eastAsia="黑体"/>
          <w:b/>
          <w:bCs/>
          <w:sz w:val="32"/>
          <w:szCs w:val="32"/>
        </w:rPr>
      </w:pPr>
    </w:p>
    <w:p>
      <w:pPr>
        <w:snapToGrid w:val="0"/>
        <w:spacing w:line="240" w:lineRule="atLeast"/>
        <w:jc w:val="center"/>
        <w:rPr>
          <w:rFonts w:ascii="黑体" w:eastAsia="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2202JS0017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上海市金山区吕巷镇水务站</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金山区吕巷镇和平桥港河等村级河道整治工程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489.8228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2202JS0016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上海市金山区吕巷镇水务站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金山区2020年吕巷镇村级河道整治工程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上海水工建设工程有限公司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1164.3067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2102JS0247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上海金工企业发展有限公司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上海（金山）国际中小企业产业园（一期）三号厂房装饰装修工程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上海朝华工程建设发展有限公司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980.3067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2102JS0079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上海新金山工业投资发展有限公司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金山工业区月工路（金水路-毛家港） 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上海弗田建设发展有限公司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2233.3339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2102JS0078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上海新金山工业投资发展有限公司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金山工业区广业路（金水路-毛家港） 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上海基强建设工程有限公司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 xml:space="preserve">1668.0259 </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2208JS0002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荣昌路1.1K-1.34K养护维修项目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 xml:space="preserve">138.8692 </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4516B3B"/>
    <w:rsid w:val="05791EDF"/>
    <w:rsid w:val="06CA50C9"/>
    <w:rsid w:val="0B1D6673"/>
    <w:rsid w:val="0B4E3017"/>
    <w:rsid w:val="0C6943CE"/>
    <w:rsid w:val="0CF812FB"/>
    <w:rsid w:val="12040402"/>
    <w:rsid w:val="121E0CDB"/>
    <w:rsid w:val="164F0F07"/>
    <w:rsid w:val="180B73EC"/>
    <w:rsid w:val="186C79F1"/>
    <w:rsid w:val="192C067E"/>
    <w:rsid w:val="1FB5411C"/>
    <w:rsid w:val="21D1014B"/>
    <w:rsid w:val="21FD171C"/>
    <w:rsid w:val="22192EEA"/>
    <w:rsid w:val="240B1B44"/>
    <w:rsid w:val="24D67A68"/>
    <w:rsid w:val="27E86D24"/>
    <w:rsid w:val="287A7AF8"/>
    <w:rsid w:val="29082BE0"/>
    <w:rsid w:val="29653143"/>
    <w:rsid w:val="2A830A4B"/>
    <w:rsid w:val="2C3D01A9"/>
    <w:rsid w:val="2EBC18D7"/>
    <w:rsid w:val="2F406F0F"/>
    <w:rsid w:val="30256E56"/>
    <w:rsid w:val="36210EBF"/>
    <w:rsid w:val="3C3830A0"/>
    <w:rsid w:val="3DAE0540"/>
    <w:rsid w:val="40100826"/>
    <w:rsid w:val="40DC529E"/>
    <w:rsid w:val="40E47BD9"/>
    <w:rsid w:val="411418B8"/>
    <w:rsid w:val="41525EBB"/>
    <w:rsid w:val="4517259F"/>
    <w:rsid w:val="479B6B83"/>
    <w:rsid w:val="479E743D"/>
    <w:rsid w:val="48346454"/>
    <w:rsid w:val="485859AE"/>
    <w:rsid w:val="49494CF1"/>
    <w:rsid w:val="49565ECD"/>
    <w:rsid w:val="49B91C4A"/>
    <w:rsid w:val="4D7033AA"/>
    <w:rsid w:val="4DB7601E"/>
    <w:rsid w:val="501F5F44"/>
    <w:rsid w:val="50561741"/>
    <w:rsid w:val="51310559"/>
    <w:rsid w:val="523D1A16"/>
    <w:rsid w:val="52AA78F9"/>
    <w:rsid w:val="53850ED7"/>
    <w:rsid w:val="53D77E97"/>
    <w:rsid w:val="54882672"/>
    <w:rsid w:val="554B2F51"/>
    <w:rsid w:val="559858A7"/>
    <w:rsid w:val="598A68C4"/>
    <w:rsid w:val="5A8E7565"/>
    <w:rsid w:val="5ADC7A61"/>
    <w:rsid w:val="5B9104C7"/>
    <w:rsid w:val="5BD347B4"/>
    <w:rsid w:val="5CF266B4"/>
    <w:rsid w:val="5D0B240E"/>
    <w:rsid w:val="5FFF0CF4"/>
    <w:rsid w:val="627273AC"/>
    <w:rsid w:val="63C914B2"/>
    <w:rsid w:val="64411A2D"/>
    <w:rsid w:val="67604DC2"/>
    <w:rsid w:val="684E705C"/>
    <w:rsid w:val="68795ADF"/>
    <w:rsid w:val="6B0F3DE5"/>
    <w:rsid w:val="6B5C47B6"/>
    <w:rsid w:val="6F2C3CC9"/>
    <w:rsid w:val="6FB5108B"/>
    <w:rsid w:val="71804C51"/>
    <w:rsid w:val="71B46619"/>
    <w:rsid w:val="71CF5B58"/>
    <w:rsid w:val="72A5479F"/>
    <w:rsid w:val="741C5A1D"/>
    <w:rsid w:val="74952A53"/>
    <w:rsid w:val="75A44310"/>
    <w:rsid w:val="76F27F45"/>
    <w:rsid w:val="786951EB"/>
    <w:rsid w:val="79363BD7"/>
    <w:rsid w:val="795E52DB"/>
    <w:rsid w:val="7A6B77E1"/>
    <w:rsid w:val="7AE93251"/>
    <w:rsid w:val="7C330DA6"/>
    <w:rsid w:val="7CED79B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3991</Words>
  <Characters>4570</Characters>
  <Lines>70</Lines>
  <Paragraphs>19</Paragraphs>
  <TotalTime>1</TotalTime>
  <ScaleCrop>false</ScaleCrop>
  <LinksUpToDate>false</LinksUpToDate>
  <CharactersWithSpaces>4592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2022-07-05T01:08:07Z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3D09A2A0B7C74A05829434CAF778D436</vt:lpwstr>
  </property>
</Properties>
</file>