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2</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一</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ascii="仿宋_GB2312" w:hAnsi="宋体" w:eastAsia="仿宋_GB2312" w:cs="仿宋_GB2312"/>
          <w:color w:val="000000"/>
          <w:sz w:val="28"/>
          <w:szCs w:val="28"/>
        </w:rPr>
        <w:t>19</w:t>
      </w:r>
      <w:r>
        <w:rPr>
          <w:rFonts w:hint="eastAsia" w:ascii="仿宋_GB2312" w:hAnsi="宋体" w:eastAsia="仿宋_GB2312" w:cs="仿宋_GB2312"/>
          <w:color w:val="000000"/>
          <w:sz w:val="28"/>
          <w:szCs w:val="28"/>
          <w:lang w:val="en-US" w:eastAsia="zh-CN"/>
        </w:rPr>
        <w:t>7</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二</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二</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widowControl w:val="0"/>
        <w:spacing w:line="520" w:lineRule="exact"/>
        <w:rPr>
          <w:rFonts w:cs="Times New Roman"/>
        </w:rPr>
      </w:pPr>
      <w:r>
        <w:rPr>
          <w:rFonts w:hint="eastAsia" w:cs="黑体"/>
        </w:rPr>
        <w:t>【法律法规】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[住建部等部门]关于进一步明确城镇老旧小区改造工作要求的通知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rPr>
      </w:pPr>
      <w:r>
        <w:rPr>
          <w:rFonts w:hint="eastAsia" w:ascii="仿宋_GB2312" w:hAnsi="Calibri" w:eastAsia="仿宋_GB2312" w:cs="仿宋_GB2312"/>
        </w:rPr>
        <w:t>建办城〔2021〕50号</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各省、自治区住房和城乡建设厅、发展改革委、财政厅，直辖市住房和城乡建设（管）委、发展改革委、财政局，新疆生产建设兵团住房和城乡建设局、发展改革委、财政局：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城镇老旧小区改造是党中央、国务院高度重视的重大民生工程和发展工程。《国务院办公厅关于全面推进城镇老旧小区改造工作的指导意见》（国办发〔2020〕23号）印发以来，各地加快推进城镇老旧小区改造，帮助一大批老旧小区居民改善了居住条件和生活环境，解决了不少群众“急难愁盼”问题，但不少地方工作中仍存在改造重“面子”轻“里子”、政府干群众看、改造资金主要靠中央补助、施工组织粗放、改造实施单元偏小、社会力量进入困难、可持续机制建立难等问题，城镇老旧小区改造既是民生工程、也是发展工程的作用还没有充分激发。为扎实推进城镇老旧小区改造，既满足人民群众美好生活需要、惠民生扩内需，又推动城市更新和开发建设方式转型，现就有关要求通知如下：</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一、把牢底线要求，坚决把民生工程做成群众满意工程</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（一）市、县应建立政府统筹、条块协作、各部门齐抓共管的专门工作机制，明确工作规则、责任清单和议事规程，形成工作合力，避免把城镇老旧小区改造简单作为建设工程推进。</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各地确定年度改造计划应从当地实际出发，尽力而为、量力而行，不层层下指标，不搞“一刀切”。严禁将不符合当地城镇老旧小区改造对象范围条件的小区纳入改造计划。严禁以城镇老旧小区改造为名，随意拆除老建筑、搬迁居民、砍伐老树。</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各地确定改造计划不应超过当地资金筹措能力、组织实施能力，坚决防止财政资金大包大揽，坚决防止盲目举债铺摊子、增加政府隐性债务。各地应加快财政资金使用进度，摸清本地区待改造城镇老旧小区底数，建立改造项目储备库，提前谋划改造项目，统筹安排改造时序，变“钱等项目”为“项目等钱”。城镇老旧小区改造中央补助资金应严格按有关规定使用，严禁截留、挪用。</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各地应督促引导电力、通信、供水、排水、供气、供热等专业经营单位履行社会责任，将老旧小区需改造的水电气热信等配套设施优先纳入本单位专营设施年度更新改造计划，并主动与城镇老旧小区改造年度计划做好衔接。项目开工改造前，市、县应就改造水电气热信等设施，形成统筹施工方案，避免反复施工、造成扰民。</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市、县制定城镇老旧小区改造方案之前，应对小区配套设施短板及安全隐患进行摸底排查，并按照应改尽改原则，将存在安全隐患的排水、燃气等老旧管线，群众意愿强烈的配套设施和公共服务设施，北方采暖地区建筑节能改造等作为重点内容优先列为改造内容。</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六）市、县应明确街道、社区在推动城镇老旧小区改造中的职责分工，并与加强基层党组织建设、居民自治机制建设、社区服务体系建设相结合，加快健全动员居民参与改造机制，发动居民参与改造方案制定、配合施工、参与过程监督和后续管理、评价与反馈小区改造效果等。</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（七）居民对小区实施改造形成共识的，即参与率、同意率达到当地规定比例的，方可纳入改造计划；改造方案应经法定比例以上居民书面（线上）表决同意后，方可开工改造。</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（八）居民就结合改造工作同步完善小区长效管理机制形成共识的，方可纳入改造计划。居民对改造后的物业管理模式、缴纳必要的物业服务费用等，集体协商形成共识并书面（线上）确认的，方可开工改造。</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九）各地应完善城镇老旧小区改造事中事后质量安全监管机制。应完善施工安全防范措施，建立工程质量安全抽检巡检制度，明确改造工程验收移交规定，确保施工安全和工程质量；应建立健全改造工程质量回访、保修制度以及质量问题投诉、纠纷协调处理机制，健全改造工程质量安全信用管理及失信惩戒机制，压实各参建单位质量安全责任。</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（十）有关市、县应及时核查整改审计、国务院大督查发现的问题。未按规定及时整改到位的，视情况取消申报下一年度改造计划资格。</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二、聚焦难题攻坚，发挥城镇老旧小区改造发展工程作用</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市、县应当结合改造完善党建引领城市基层治理机制。鼓励结合城镇老旧小区改造成立小区党组织、业主委员会，搭建居民沟通议事平台，利用“互联网+共建共治共享”等线上手段，提高居民协商议事效率。鼓励下沉公共服务和社会管理资源，按照有关规定探索适宜改造项目的招投标、奖励等机制。</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市、县应当推进相邻小区及周边地区联动改造。结合城市更新行动、完整居住社区建设等，积极推进相邻小区及周边地区联动改造、整个片区统筹改造，加强服务设施、公共空间共建共享，推动建设安全健康、设施完善、管理有序的完整居住社区。鼓励各地结合城镇老旧小区改造，同步开展绿色社区创建，促进居住社区品质提升。</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鼓励市、县以改造为抓手加快构建社区生活圈。在确定城镇老旧小区改造计划之前，应以居住社区为单元开展普查，摸清各类设施和公共活动空间建设短板，以及待改造小区及周边地区可盘活利用的闲置房屋资源、空闲用地等存量资源，并区分轻重缓急，在改造中有针对性地配建居民最需要的养老、托育、助餐、停车、体育健身等各类设施，加强适老及适儿化改造、无障碍设施建设，解决“一老一小”方面难题。</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市、县应多渠道筹措城镇老旧小区改造资金。积极通过落实专业经营单位责任、将符合条件的城镇老旧小区改造项目纳入地方政府专项债券支持范围、吸引社会力量出资参与、争取信贷支持、合理落实居民出资责任等渠道，落实资金共担机制，切实提高财政资金使用效益。</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鼓励市、县吸引培育城镇老旧小区改造规模化实施运营主体。鼓励通过政府采购、新增设施有偿使用、落实资产权益等方式，在不新增地方政府隐性债务的前提下，吸引培育各类专业机构等社会力量，全链条参与改造项目策划、设计、融资、建设、运营、管理。支持规范规模化实施运营主体以市场化运作方式，充分挖掘运营社区服务等改造项目收益点，通过项目后续长期运营收入平衡改造投入，实现可持续。</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六）市、县应当推动提升金融服务力度和质效。鼓励与各类金融机构加强协作，加快产品和服务创新，共同探索适合改造需要的融资模式，为符合条件的城镇老旧小区整体改造项目，以及水电气热信等专项改造项目，提供金融支持。鼓励金融机构为专业机构以市场化方式投资运营的加装电梯、建设停车设施项目，以及以“平台+创业单元”方式发展养老、托育、家政等社区服务新业态项目提供信贷支持。在不增加地方政府隐性债务的前提下，鼓励金融机构依法依规参与投资地方政府设立的城镇老旧小区改造等城市更新基金。</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七）各地应当加快构建适应存量改造的配套政策制度。积极构建适应改造需要的审批制度，明确审批事项、主体和办事程序等。鼓励因地制宜完善适应改造需要的标准体系。加快建立健全既有土地集约混合利用和存量房屋设施兼容转换的政策机制，为吸引社会力量参与、引入金融支持创造条件，促进城镇老旧小区改造可持续发展。</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（八）鼓励市、县将改造后专营设施设备的产权依照法定程序移交给专业经营单位，由其负责后续维护管理，切实维护水电气热信等市政配套基础设施改造成果，守牢市政公用设施运行安全底线。</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（九）市、县应当结合改造建立健全城镇老旧小区住宅专项维修资金归集、使用、续筹机制，促进小区改造后维护更新进入良性轨道。</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（十）鼓励市、县积极引导小区居民结合改造同步对户内管线等进行改造，引导有条件的居民实施房屋整体装修改造，带动家装建材消费。</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三、完善督促指导工作机制</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科学评价工作质量和效果。各地要对照底线要求，逐项排查改进工作中存在的问题；以推动高质量发展为目标，聚焦需攻坚的难题，借鉴先行地区经验做法，完善工作机制及政策体系，不断提升工作质量和效果。各地要以人民群众满意度和受益程度、改造质量和财政资金使用效率为衡量标准，科学评价本地区改造工作成效，形成激励先进、督促后进、以先进促后进的浓厚氛围；各地可参照城镇老旧小区改造工作衡量标准（见附件），统筹谋划各环节工作，扎实系统推进。</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建立巡回调研指导机制。住房和城乡建设部将组织相关部门、地区及行业专家，组成巡回调研指导工作组，聚焦破解发动居民参与共建、吸引社会力量参与、多渠道筹措资金、合理拓展改造实施单元、健全适应改造需要的制度体系等难题，加强对各地的调研指导，对部分工作成效显著的省份，重点总结其可复制可推广经验做法、政策机制；对部分工作进展有差距的省份，重点开展帮扶指导，帮助其健全机制、完善政策、明确措施。各省（区、市）可结合本地区实际，建立相应的巡回调研指导机制，加强对市、县的指导。</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健全激励先进、督促落后机制。城镇老旧小区改造工作成效评价结果作为安排下达中央财政补助资金的重要参考。对中央预算内投资执行较好的地方，给予适当奖励。将城镇老旧小区改造工作纳入国务院督查激励事项，以工作成效评价作为确定激励名单的重要依据。各省（区、市）住房和城乡建设、发展改革、财政等部门要加大督促指导力度，畅通投诉举报渠道，对发现市、县工作成效突出的，要及时总结上报好的经验做法，对督导检查、审计、信访、媒体等发现市、县存在违反底线要求的，要及时督促整改，问题严重的依法依规严肃处理。</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加强宣传引导。各地要加大城镇老旧小区改造工作宣传力度，注重典型引路、正面引导，全面客观报道城镇老旧小区改造作为民生工程、发展工程的进展及其成效，提高社会各界对城镇老旧小区改造的认识。要准确解读城镇老旧小区改造政策措施，加大对优秀项目、典型案例的宣传力度，营造良好舆论氛围。主动接受舆论监督，及时解决群众反映的问题、改进工作中的不足，积极回应社会关切，形成良性互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住房和城乡建设部办公厅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国家发展改革委办公厅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财政部办公厅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2021年12月14日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Times New Roman" w:eastAsia="黑体" w:cs="黑体"/>
          <w:b/>
          <w:bCs/>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kern w:val="2"/>
          <w:sz w:val="32"/>
          <w:szCs w:val="32"/>
          <w:lang w:val="en-US" w:eastAsia="zh-CN" w:bidi="ar-SA"/>
        </w:rPr>
      </w:pPr>
      <w:r>
        <w:rPr>
          <w:rFonts w:hint="eastAsia" w:ascii="黑体" w:hAnsi="Times New Roman" w:eastAsia="黑体" w:cs="黑体"/>
          <w:b/>
          <w:bCs/>
          <w:color w:val="000000"/>
          <w:kern w:val="2"/>
          <w:sz w:val="32"/>
          <w:szCs w:val="32"/>
          <w:lang w:val="en-US" w:eastAsia="zh-CN" w:bidi="ar-SA"/>
        </w:rPr>
        <w:t>[国务院]关于印发“十四五”节能减排综合工作方案的通知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rPr>
      </w:pPr>
      <w:r>
        <w:rPr>
          <w:rFonts w:hint="eastAsia" w:ascii="仿宋_GB2312" w:hAnsi="Calibri" w:eastAsia="仿宋_GB2312" w:cs="仿宋_GB2312"/>
          <w:b w:val="0"/>
          <w:bCs w:val="0"/>
          <w:kern w:val="2"/>
          <w:sz w:val="21"/>
          <w:szCs w:val="21"/>
          <w:lang w:val="en-US" w:eastAsia="zh-CN" w:bidi="ar-SA"/>
        </w:rPr>
        <w:t>国发〔2021〕33号</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现将《“十四五”节能减排综合工作方案》印发给你们，请结合本地区、本部门实际，认真贯彻落实。</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国务院</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2021年12月28日</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“十四五”节能减排综合工作方案</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为认真贯彻落实党中央、国务院重大决策部署，大力推动节能减排，深入打好污染防治攻坚战，加快建立健全绿色低碳循环发展经济体系，推进经济社会发展全面绿色转型，助力实现碳达峰、碳中和目标，制定本方案。</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一、总体要求</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以习近平新时代中国特色社会主义思想为指导，全面贯彻党的十九大和十九届历次全会精神，深入贯彻习近平生态文明思想，坚持稳中求进工作总基调，立足新发展阶段，完整、准确、全面贯彻新发展理念，构建新发展格局，推动高质量发展，完善实施能源消费强度和总量双控（以下称能耗双控）、主要污染物排放总量控制制度，组织实施节能减排重点工程，进一步健全节能减排政策机制，推动能源利用效率大幅提高、主要污染物排放总量持续减少，实现节能降碳减污协同增效、生态环境质量持续改善，确保完成“十四五”节能减排目标，为实现碳达峰、碳中和目标奠定坚实基础。</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二、主要目标</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到2025年，全国单位国内生产总值能源消耗比2020年下降13.5%，能源消费总量得到合理控制，化学需氧量、氨氮、氮氧化物、挥发性有机物排放总量比2020年分别下降8%、8%、10%以上、10%以上。节能减排政策机制更加健全，重点行业能源利用效率和主要污染物排放控制水平基本达到国际先进水平，经济社会发展绿色转型取得显著成效。</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三、实施节能减排重点工程</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重点行业绿色升级工程。以钢铁、有色金属、建材、石化化工等行业为重点，推进节能改造和污染物深度治理。推广高效精馏系统、高温高压干熄焦、富氧强化熔炼等节能技术，鼓励将高炉—转炉长流程炼钢转型为电炉短流程炼钢。推进钢铁、水泥、焦化行业及燃煤锅炉超低排放改造，到2025年，完成5.3亿吨钢铁产能超低排放改造，大气污染防治重点区域燃煤锅炉全面实现超低排放。加强行业工艺革新，实施涂装类、化工类等产业集群分类治理，开展重点行业清洁生产和工业废水资源化利用改造。推进新型基础设施能效提升，加快绿色数据中心建设。“十四五”时期，规模以上工业单位增加值能耗下降13.5%，万元工业增加值用水量下降16%。到2025年，通过实施节能降碳行动，钢铁、电解铝、水泥、平板玻璃、炼油、乙烯、合成氨、电石等重点行业产能和数据中心达到能效标杆水平的比例超过30%。（工信部、国家发改委、生态环境部、市场监管总局、国家能源局等按职责分工负责，地方各级人民政府负责落实。以下均需地方各级人民政府落实，不再列出）</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园区节能环保提升工程。引导工业企业向园区集聚，推动工业园区能源系统整体优化和污染综合整治，鼓励工业企业、园区优先利用可再生能源。以省级以上工业园区为重点，推进供热、供电、污水处理、中水回用等公共基础设施共建共享，对进水浓度异常的污水处理厂开展片区管网系统化整治，加强一般固体废物、危险废物集中贮存和处置，推动挥发性有机物、电镀废水及特征污染物集中治理等“绿岛”项目建设。到2025年，建成一批节能环保示范园区。</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城镇绿色节能改造工程。全面推进城镇绿色规划、绿色建设、绿色运行管理，推动低碳城市、韧性城市、海绵城市、“无废城市”建设。全面提高建筑节能标准，加快发展超低能耗建筑，积极推进既有建筑节能改造、建筑光伏一体化建设。因地制宜推动北方地区清洁取暖，加快工业余热、可再生能源等在城镇供热中的规模化应用。实施绿色高效制冷行动，以建筑中央空调、数据中心、商务产业园区、冷链物流等为重点，更新升级制冷技术、设备，优化负荷供需匹配，大幅提升制冷系统能效水平。实施公共供水管网漏损治理工程。到2025年，城镇新建建筑全面执行绿色建筑标准，城镇清洁取暖比例和绿色高效制冷产品市场占有率大幅提升。</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交通物流节能减排工程。推动绿色铁路、绿色公路、绿色港口、绿色航道、绿色机场建设，有序推进充换电、加注（气）、加氢、港口机场岸电等基础设施建设。提高城市公交、出租、物流、环卫清扫等车辆使用新能源汽车的比例。加快大宗货物和中长途货物运输“公转铁”、“公转水”，大力发展铁水、公铁、公水等多式联运。全面实施汽车国六排放标准和非道路移动柴油机械国四排放标准，基本淘汰国三及以下排放标准汽车。深入实施清洁柴油机行动，鼓励重型柴油货车更新替代。实施汽车排放检验与维护制度，加强机动车排放召回管理。加强船舶清洁能源动力推广应用，推动船舶岸电受电设施改造。提升铁路电气化水平，推广低能耗运输装备，推动实施铁路内燃机车国一排放标准。大力发展智能交通，积极运用大数据优化运输组织模式。加快绿色仓储建设，鼓励建设绿色物流园区。加快标准化物流周转箱推广应用。全面推广绿色快递包装，引导电商企业、邮政快递企业选购使用获得绿色认证的快递包装产品。到2025年，新能源汽车新车销售量达到汽车新车销售总量的20%左右，铁路、水路货运量占比进一步提升。</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农业农村节能减排工程。加快风能、太阳能、生物质能等可再生能源在农业生产和农村生活中的应用，有序推进农村清洁取暖。推广应用农用电动车辆、节能环保农机和渔船，发展节能农业大棚，推进农房节能改造和绿色农房建设。强化农业面源污染防治，推进农药化肥减量增效、秸秆综合利用，加快农膜和农药包装废弃物回收处理。深入推进规模养殖场污染治理，整县推进畜禽粪污资源化利用。整治提升农村人居环境，提高农村污水垃圾处理能力，基本消除较大面积的农村黑臭水体。到2025年，农村生活污水治理率达到40%，秸秆综合利用率稳定在86%以上，主要农作物化肥、农药利用率均达到43%以上，畜禽粪污综合利用率达到80%以上，绿色防控、统防统治覆盖率分别达到55%、45%，京津冀及周边地区大型规模化养殖场氨排放总量削减5%。</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六）公共机构能效提升工程。加快公共机构既有建筑围护结构、供热、制冷、照明等设施设备节能改造，鼓励采用能源费用托管等合同能源管理模式。率先淘汰老旧车，率先采购使用节能和新能源汽车，新建和既有停车场要配备电动汽车充电设施或预留充电设施安装条件。推行能耗定额管理，全面开展节约型机关创建行动。到2025年，创建2000家节约型公共机构示范单位，遴选200家公共机构能效领跑者。</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七）重点区域污染物减排工程。持续推进大气污染防治重点区域秋冬季攻坚行动，加大重点行业结构调整和污染治理力度。以大气污染防治重点区域及珠三角地区、成渝地区等为重点，推进挥发性有机物和氮氧化物协同减排，加强细颗粒物和臭氧协同控制。持续打好长江保护修复攻坚战，扎实推进城镇污水垃圾处理和工业、农业面源、船舶、尾矿库等污染治理工程，到2025年，长江流域总体水质保持为优，干流水质稳定达到Ⅱ类。着力打好黄河生态保护治理攻坚战，实施深度节水控水行动，加强重要支流污染治理，开展入河排污口排查整治，到2025年，黄河干流上中游（花园口以上）水质达到Ⅱ类。</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八）煤炭清洁高效利用工程。要立足以煤为主的基本国情，坚持先立后破，严格合理控制煤炭消费增长，抓好煤炭清洁高效利用，推进存量煤电机组节煤降耗改造、供热改造、灵活性改造“三改联动”，持续推动煤电机组超低排放改造。稳妥有序推进大气污染防治重点区域燃料类煤气发生炉、燃煤热风炉、加热炉、热处理炉、干燥炉（窑）以及建材行业煤炭减量，实施清洁电力和天然气替代。推广大型燃煤电厂热电联产改造，充分挖掘供热潜力，推动淘汰供热管网覆盖范围内的燃煤锅炉和散煤。加大落后燃煤锅炉和燃煤小热电退出力度，推动以工业余热、电厂余热、清洁能源等替代煤炭供热（蒸汽）。到2025年，非化石能源占能源消费总量比重达到20%左右。“十四五”时期，京津冀及周边地区、长三角地区煤炭消费量分别下降10%、5%左右，汾渭平原煤炭消费量实现负增长。</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九）挥发性有机物综合整治工程。推进原辅材料和产品源头替代工程，实施全过程污染物治理。以工业涂装、包装印刷等行业为重点，推动使用低挥发性有机物含量的涂料、油墨、胶粘剂、清洗剂。深化石化化工等行业挥发性有机物污染治理，全面提升废气收集率、治理设施同步运行率和去除率。对易挥发有机液体储罐实施改造，对浮顶罐推广采用全接液浮盘和高效双重密封技术，对废水系统高浓度废气实施单独收集处理。加强油船和原油、成品油码头油气回收治理。到2025年，溶剂型工业涂料、油墨使用比例分别降低20个百分点、10个百分点，溶剂型胶粘剂使用量降低20%。</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环境基础设施水平提升工程。加快构建集污水、垃圾、固体废物、危险废物、医疗废物处理处置设施和监测监管能力于一体的环境基础设施体系，推动形成由城市向建制镇和乡村延伸覆盖的环境基础设施网络。推进城市生活污水管网建设和改造，实施混错接管网改造、老旧破损管网更新修复，加快补齐处理能力缺口，推行污水资源化利用和污泥无害化处置。建设分类投放、分类收集、分类运输、分类处理的生活垃圾处理系统。到2025年，新增和改造污水收集管网8万公里，新增污水处理能力2000万立方米/日，城市污泥无害化处置率达到90%，城镇生活垃圾焚烧处理能力达到80万吨/日左右，城市生活垃圾焚烧处理能力占比65%左右。</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四、健全节能减排政策机制</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优化完善能耗双控制度。坚持节能优先，强化能耗强度降低约束性指标管理，有效增强能源消费总量管理弹性，加强能耗双控政策与碳达峰、碳中和目标任务的衔接。以能源产出率为重要依据，综合考虑发展阶段等因素，合理确定各地区能耗强度降低目标。国家对各省（自治区、直辖市）“十四五”能耗强度降低实行基本目标和激励目标双目标管理，由各省（自治区、直辖市）分解到每年。完善能源消费总量指标确定方式，各省（自治区、直辖市）根据地区生产总值增速目标和能耗强度降低基本目标确定年度能源消费总量目标，经济增速超过预期目标的地区可相应调整能源消费总量目标。对能耗强度降低达到国家下达的激励目标的地区，其能源消费总量在当期能耗双控考核中免予考核。各地区“十四五”时期新增可再生能源电力消费量不纳入地方能源消费总量考核。原料用能不纳入全国及地方能耗双控考核。有序实施国家重大项目能耗单列，支持国家重大项目建设。加强节能形势分析预警，对高预警等级地区加强工作指导。推动科学有序实行用能预算管理，优化能源要素合理配置。</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健全污染物排放总量控制制度。坚持精准治污、科学治污、依法治污，把污染物排放总量控制制度作为加快绿色低碳发展、推动结构优化调整、提升环境治理水平的重要抓手，推进实施重点减排工程，形成有效减排能力。优化总量减排指标分解方式，按照可监测、可核查、可考核的原则，将重点工程减排量下达地方，污染治理任务较重的地方承担相对较多的减排任务。改进总量减排核算方法，制定核算技术指南，加强与排污许可、环境影响评价审批等制度衔接，提升总量减排核算信息化水平。完善总量减排考核体系，健全激励约束机制，强化总量减排监督管理，重点核查重复计算、弄虚作假特别是不如实填报削减量和削减来源等问题。</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坚决遏制高耗能高排放项目盲目发展。根据国家产业规划、产业政策、节能审查、环境影响评价审批等政策规定，对在建、拟建、建成的高耗能高排放项目（以下称“两高”项目）开展评估检查，建立工作清单，明确处置意见，严禁违规“两高”项目建设、运行，坚决拿下不符合要求的“两高”项目。加强对“两高”项目节能审查、环境影响评价审批程序和结果执行的监督评估，对审批能力不适应的依法依规调整上收审批权。对年综合能耗5万吨标准煤及以上的“两高”项目加强工作指导。严肃财经纪律，指导金融机构完善“两高”项目融资政策。</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健全法规标准。推动制定修订资源综合利用法、节约能源法、循环经济促进法、清洁生产促进法、环境影响评价法及生态环境监测条例、民用建筑节能条例、公共机构节能条例等法律法规，完善固定资产投资项目节能审查、电力需求侧管理、非道路移动机械污染防治管理等办法。对标国际先进水平制定修订一批强制性节能标准，深入开展能效、水效领跑者引领行动。制定修订居民消费品挥发性有机物含量限制标准和涉挥发性有机物重点行业大气污染物排放标准，进口非道路移动机械执行国内排放标准。研究制定下一阶段轻型车、重型车排放标准和油品质量标准。</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完善经济政策。各级财政加大节能减排支持力度，统筹安排相关专项资金支持节能减排重点工程建设，研究对节能目标责任评价考核结果为超额完成等级的地区给予奖励。逐步规范和取消低效化石能源补贴。扩大中央财政北方地区冬季清洁取暖政策支持范围。建立农村生活污水处理设施运维费用地方各级财政投入分担机制。扩大政府绿色采购覆盖范围。健全绿色金融体系，大力发展绿色信贷，支持重点行业领域节能减排，用好碳减排支持工具和支持煤炭清洁高效利用专项再贷款，加强环境和社会风险管理。鼓励有条件的地区探索建立绿色贷款财政贴息、奖补、风险补偿、信用担保等配套支持政策。加快绿色债券发展，支持符合条件的节能减排企业上市融资和再融资。积极推进环境高风险领域企业投保环境污染责任保险。落实环境保护、节能节水、资源综合利用税收优惠政策。完善挥发性有机物监测技术和排放量计算方法，在相关条件成熟后，研究适时将挥发性有机物纳入环境保护税征收范围。强化电价政策与节能减排政策协同，持续完善高耗能行业阶梯电价等绿色电价机制，扩大实施范围、加大实施力度，落实落后“两高”企业的电价上浮政策。深化供热体制改革，完善城镇供热价格机制。建立健全城镇污水处理费征收标准动态调整机制，具备条件的东部地区、中西部城市近郊区探索建立受益农户污水处理付费机制。</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六）完善市场化机制。深化用能权有偿使用和交易试点，加强用能权交易与碳排放权交易的统筹衔接，推动能源要素向优质项目、企业、产业及经济发展条件好的地区流动和集聚。培育和发展排污权交易市场，鼓励有条件的地区扩大排污权交易试点范围。推广绿色电力证书交易。全面推进电力需求侧管理。推行合同能源管理，积极推广节能咨询、诊断、设计、融资、改造、托管等“一站式”综合服务模式。规范开放环境治理市场，推行环境污染第三方治理，探索推广生态环境导向的开发、环境托管服务等新模式。强化能效标识管理制度，扩大实施范围。健全统一的绿色产品标准、认证、标识体系，推行节能低碳环保产品认证。</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七）加强统计监测能力建设。严格实施重点用能单位能源利用状况报告制度，健全能源计量体系，加强重点用能单位能耗在线监测系统建设和应用。完善工业、建筑、交通运输等领域能源消费统计制度和指标体系，探索建立城市基础设施能源消费统计制度。优化污染源统计调查范围，调整污染物统计调查指标和排放计算方法。构建覆盖排污许可持证单位的固定污染源监测体系，加强工业园区污染源监测，推动涉挥发性有机物排放的重点排污单位安装在线监控监测设施。加强统计基层队伍建设，强化统计数据审核，防范统计造假、弄虚作假，提升统计数据质量。</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八）壮大节能减排人才队伍。健全省、市、县三级节能监察体系，加强节能监察能力建设。重点用能单位按要求设置能源管理岗位和负责人。加强县级及乡镇基层生态环境监管队伍建设，重点排污单位设置专职环保人员。加大政府有关部门及监察执法机构、企业等节能减排工作人员培训力度，通过业务培训、比赛竞赛、经验交流等方式提高业务水平。开发节能环保领域新职业，组织制定相应职业标准。</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五、强化工作落实</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加强组织领导。各地区、各部门和各有关单位要充分认识节能减排工作的重要性和紧迫性，把思想和行动统一到党中央、国务院关于节能减排的决策部署上来，立足经济社会发展大局，坚持系统观念，明确目标责任，制定实施方案，狠抓工作落实，确保完成“十四五”节能减排各项任务。地方各级人民政府对本行政区域节能减排工作负总责，主要负责同志是第一责任人，要切实加强组织领导和部署推进，将本地区节能减排目标与国民经济和社会发展五年规划及年度计划充分衔接，科学明确下一级政府、有关部门和重点单位责任。要科学考核，防止简单层层分解。中央企业要带头落实节能减排目标责任，鼓励实行更严格的目标管理。国家发展改革委、生态环境部要加强统筹协调，做好工作指导，推动任务有序有效落实，及时防范化解风险，重大情况及时向国务院报告。</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强化监督考核。开展“十四五”省级人民政府节能减排目标责任评价考核，科学运用考核结果，对工作成效显著的地区加强激励，对工作不力的地区加强督促指导，考核结果经国务院审定后，交由干部主管部门作为对省级人民政府领导班子和领导干部综合考核评价的重要依据。完善能耗双控考核措施，增加能耗强度降低约束性指标考核权重，加大对坚决遏制“两高”项目盲目发展、推动能源资源优化配置措施落实情况的考核力度，统筹目标完成进展、经济形势及跨周期因素，优化考核频次。继续开展污染防治攻坚战成效考核，把总量减排目标任务完成情况作为重要考核内容，压实减排工作责任。完善中央生态环境保护督察制度，深化例行督察，强化专项督察。</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开展全民行动。深入开展绿色生活创建行动，增强全民节约意识，倡导简约适度、绿色低碳、文明健康的生活方式，坚决抵制和反对各种形式的奢侈浪费，营造绿色低碳社会风尚。推行绿色消费，加大绿色低碳产品推广力度，组织开展全国节能宣传周、世界环境日等主题宣传活动，通过多种传播渠道和方式广泛宣传节能减排法规、标准和知识。加大先进节能减排技术研发和推广力度。发挥行业协会、商业团体、公益组织的作用，支持节能减排公益事业。畅通群众参与生态环境监督渠道。开展节能减排自愿承诺，引导市场主体、社会公众自觉履行节能减排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宋体" w:eastAsia="仿宋_GB2312" w:cs="仿宋_GB2312"/>
          <w:sz w:val="28"/>
          <w:szCs w:val="28"/>
        </w:rPr>
      </w:pPr>
    </w:p>
    <w:p>
      <w:pPr>
        <w:pStyle w:val="4"/>
        <w:widowControl w:val="0"/>
        <w:snapToGrid w:val="0"/>
        <w:spacing w:line="520" w:lineRule="exact"/>
        <w:jc w:val="both"/>
        <w:rPr>
          <w:rFonts w:hint="eastAsia" w:cs="黑体"/>
        </w:rPr>
      </w:pPr>
      <w:bookmarkStart w:id="0" w:name="_GoBack"/>
      <w:bookmarkEnd w:id="0"/>
      <w:r>
        <w:rPr>
          <w:rFonts w:hint="eastAsia" w:cs="黑体"/>
        </w:rPr>
        <w:t>【公示公告】</w:t>
      </w: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年</w:t>
      </w:r>
      <w:r>
        <w:rPr>
          <w:rFonts w:ascii="黑体" w:eastAsia="黑体" w:cs="黑体"/>
          <w:b/>
          <w:bCs/>
          <w:color w:val="000000"/>
          <w:sz w:val="32"/>
          <w:szCs w:val="32"/>
        </w:rPr>
        <w:t>1</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14</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2021/12/27</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上海森略建筑装饰有限公司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2021/12/27</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上海凌禹建筑工程有限公司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2022/1/12</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上海渝阳建筑劳务有限公司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2022/1/12</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上海铭取建筑工程有限公司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2022/1/12</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上海雨航防水材料有限公司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2022/1/12</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上海杳壹建筑工程有限公司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2022/1/12</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上海磬圣建筑工程有限公司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2022/1/12</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上海筑真装饰设计工程有限公司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2022/1/12</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上海金瞬建筑劳务有限公司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2022/1/24</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上海承凌建筑装饰设计工程有限公司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2022/1/24</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上海轩膨建设有限公司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2022/1/24</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上海车启易达新能源科技有限公司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2022/1/24</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上海锦大建筑装饰有限公司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2022/1/24</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上海居乐雅科技开发有限公司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建筑装修装饰工程二级</w:t>
            </w:r>
          </w:p>
        </w:tc>
      </w:tr>
    </w:tbl>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jc w:val="center"/>
              <w:rPr>
                <w:rFonts w:hint="eastAsia" w:ascii="仿宋_GB2312" w:hAnsi="仿宋_GB2312" w:eastAsia="仿宋_GB2312" w:cs="仿宋_GB2312"/>
                <w:lang w:val="en-US" w:eastAsia="zh-CN"/>
              </w:rPr>
            </w:pPr>
          </w:p>
        </w:tc>
        <w:tc>
          <w:tcPr>
            <w:tcW w:w="4200" w:type="dxa"/>
            <w:vAlign w:val="center"/>
          </w:tcPr>
          <w:p>
            <w:pPr>
              <w:jc w:val="center"/>
              <w:rPr>
                <w:rFonts w:hint="eastAsia" w:ascii="仿宋_GB2312" w:hAnsi="仿宋_GB2312" w:eastAsia="仿宋_GB2312" w:cs="仿宋_GB2312"/>
                <w:lang w:val="en-US" w:eastAsia="zh-CN"/>
              </w:rPr>
            </w:pPr>
          </w:p>
        </w:tc>
        <w:tc>
          <w:tcPr>
            <w:tcW w:w="3453" w:type="dxa"/>
            <w:vAlign w:val="center"/>
          </w:tcPr>
          <w:p>
            <w:pPr>
              <w:jc w:val="center"/>
              <w:rPr>
                <w:rFonts w:hint="eastAsia" w:ascii="仿宋_GB2312" w:hAnsi="仿宋_GB2312" w:eastAsia="仿宋_GB2312" w:cs="仿宋_GB2312"/>
                <w:lang w:val="en-US" w:eastAsia="zh-CN"/>
              </w:rPr>
            </w:pPr>
          </w:p>
        </w:tc>
      </w:tr>
    </w:tbl>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2</w:t>
      </w:r>
      <w:r>
        <w:rPr>
          <w:rFonts w:hint="eastAsia" w:ascii="黑体" w:eastAsia="黑体" w:cs="黑体"/>
          <w:b/>
          <w:bCs/>
          <w:sz w:val="32"/>
          <w:szCs w:val="32"/>
        </w:rPr>
        <w:t>年</w:t>
      </w:r>
      <w:r>
        <w:rPr>
          <w:rFonts w:ascii="黑体" w:eastAsia="黑体" w:cs="黑体"/>
          <w:b/>
          <w:bCs/>
          <w:sz w:val="32"/>
          <w:szCs w:val="32"/>
        </w:rPr>
        <w:t>1</w:t>
      </w:r>
      <w:r>
        <w:rPr>
          <w:rFonts w:hint="eastAsia" w:ascii="黑体" w:eastAsia="黑体" w:cs="黑体"/>
          <w:b/>
          <w:bCs/>
          <w:sz w:val="32"/>
          <w:szCs w:val="32"/>
        </w:rPr>
        <w:t>月金山区建设工程施工招投标项目清单</w:t>
      </w:r>
    </w:p>
    <w:p>
      <w:pPr>
        <w:snapToGrid w:val="0"/>
        <w:spacing w:line="240" w:lineRule="atLeast"/>
        <w:jc w:val="both"/>
        <w:rPr>
          <w:rFonts w:ascii="黑体" w:eastAsia="黑体"/>
          <w:b/>
          <w:bCs/>
          <w:sz w:val="32"/>
          <w:szCs w:val="32"/>
        </w:rPr>
      </w:pPr>
    </w:p>
    <w:p>
      <w:pPr>
        <w:snapToGrid w:val="0"/>
        <w:spacing w:line="240" w:lineRule="atLeast"/>
        <w:jc w:val="center"/>
        <w:rPr>
          <w:rFonts w:ascii="黑体" w:eastAsia="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129"/>
        <w:gridCol w:w="4275"/>
        <w:gridCol w:w="2027"/>
        <w:gridCol w:w="1242"/>
        <w:gridCol w:w="123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12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2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4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23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30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2102JS0242</w:t>
            </w:r>
          </w:p>
        </w:tc>
        <w:tc>
          <w:tcPr>
            <w:tcW w:w="686"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上海市金山区亭林镇农业农村服务中心 </w:t>
            </w:r>
          </w:p>
        </w:tc>
        <w:tc>
          <w:tcPr>
            <w:tcW w:w="427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金山区亭林镇油车村粮田建设项目</w:t>
            </w:r>
          </w:p>
        </w:tc>
        <w:tc>
          <w:tcPr>
            <w:tcW w:w="2027"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上海金岭建设有限公司</w:t>
            </w:r>
          </w:p>
        </w:tc>
        <w:tc>
          <w:tcPr>
            <w:tcW w:w="124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1051.7656</w:t>
            </w:r>
          </w:p>
        </w:tc>
        <w:tc>
          <w:tcPr>
            <w:tcW w:w="123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619</w:t>
            </w:r>
          </w:p>
        </w:tc>
        <w:tc>
          <w:tcPr>
            <w:tcW w:w="74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30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2102JS0239</w:t>
            </w:r>
          </w:p>
        </w:tc>
        <w:tc>
          <w:tcPr>
            <w:tcW w:w="686"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上海市金山区金山卫镇农业农村服务中心 </w:t>
            </w:r>
          </w:p>
        </w:tc>
        <w:tc>
          <w:tcPr>
            <w:tcW w:w="427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金山区金山卫镇张桥村粮田建设项目 </w:t>
            </w:r>
          </w:p>
        </w:tc>
        <w:tc>
          <w:tcPr>
            <w:tcW w:w="2027"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上海城建水务工程有限公司</w:t>
            </w:r>
          </w:p>
        </w:tc>
        <w:tc>
          <w:tcPr>
            <w:tcW w:w="124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2972.1958</w:t>
            </w:r>
          </w:p>
        </w:tc>
        <w:tc>
          <w:tcPr>
            <w:tcW w:w="123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4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30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2102JS0216</w:t>
            </w:r>
          </w:p>
        </w:tc>
        <w:tc>
          <w:tcPr>
            <w:tcW w:w="686"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上海临港金山二工区新兴产业发展有限公司</w:t>
            </w:r>
          </w:p>
        </w:tc>
        <w:tc>
          <w:tcPr>
            <w:tcW w:w="427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碳谷绿湾二期项目</w:t>
            </w:r>
          </w:p>
        </w:tc>
        <w:tc>
          <w:tcPr>
            <w:tcW w:w="2027"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上海建工七建集团有限公司</w:t>
            </w:r>
          </w:p>
        </w:tc>
        <w:tc>
          <w:tcPr>
            <w:tcW w:w="124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26575.5052</w:t>
            </w:r>
          </w:p>
        </w:tc>
        <w:tc>
          <w:tcPr>
            <w:tcW w:w="123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52365.38</w:t>
            </w:r>
          </w:p>
        </w:tc>
        <w:tc>
          <w:tcPr>
            <w:tcW w:w="74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30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2102JS0213</w:t>
            </w:r>
          </w:p>
        </w:tc>
        <w:tc>
          <w:tcPr>
            <w:tcW w:w="686"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上海市金山区漕泾镇人民政府</w:t>
            </w:r>
          </w:p>
        </w:tc>
        <w:tc>
          <w:tcPr>
            <w:tcW w:w="427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漕泾镇郊野公园配套项目一期工程一标段</w:t>
            </w:r>
          </w:p>
        </w:tc>
        <w:tc>
          <w:tcPr>
            <w:tcW w:w="2027"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上海金山城乡建设工程有限公司</w:t>
            </w:r>
          </w:p>
        </w:tc>
        <w:tc>
          <w:tcPr>
            <w:tcW w:w="124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889.8393</w:t>
            </w:r>
          </w:p>
        </w:tc>
        <w:tc>
          <w:tcPr>
            <w:tcW w:w="123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4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30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2102JS0213</w:t>
            </w:r>
          </w:p>
        </w:tc>
        <w:tc>
          <w:tcPr>
            <w:tcW w:w="686"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C02</w:t>
            </w:r>
          </w:p>
        </w:tc>
        <w:tc>
          <w:tcPr>
            <w:tcW w:w="212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上海市金山区漕泾镇人民政府</w:t>
            </w:r>
          </w:p>
        </w:tc>
        <w:tc>
          <w:tcPr>
            <w:tcW w:w="427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漕泾镇郊野公园配套项目一期工程二标段</w:t>
            </w:r>
          </w:p>
        </w:tc>
        <w:tc>
          <w:tcPr>
            <w:tcW w:w="2027"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上海金山城乡建设工程有限公司</w:t>
            </w:r>
          </w:p>
        </w:tc>
        <w:tc>
          <w:tcPr>
            <w:tcW w:w="124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663.956</w:t>
            </w:r>
          </w:p>
        </w:tc>
        <w:tc>
          <w:tcPr>
            <w:tcW w:w="123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70246</w:t>
            </w:r>
          </w:p>
        </w:tc>
        <w:tc>
          <w:tcPr>
            <w:tcW w:w="74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30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2102JS0206</w:t>
            </w:r>
          </w:p>
        </w:tc>
        <w:tc>
          <w:tcPr>
            <w:tcW w:w="686"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上海市金山区亭林镇人民政府</w:t>
            </w:r>
          </w:p>
        </w:tc>
        <w:tc>
          <w:tcPr>
            <w:tcW w:w="427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“四好农村路”亭林镇前颜路提档升级工程</w:t>
            </w:r>
          </w:p>
        </w:tc>
        <w:tc>
          <w:tcPr>
            <w:tcW w:w="2027"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上海盛秋市政工程有限公司</w:t>
            </w:r>
          </w:p>
        </w:tc>
        <w:tc>
          <w:tcPr>
            <w:tcW w:w="124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804.8975</w:t>
            </w:r>
          </w:p>
        </w:tc>
        <w:tc>
          <w:tcPr>
            <w:tcW w:w="123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4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30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2102JS0201</w:t>
            </w:r>
          </w:p>
        </w:tc>
        <w:tc>
          <w:tcPr>
            <w:tcW w:w="686"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上海市金山区漕泾镇人民政府</w:t>
            </w:r>
          </w:p>
        </w:tc>
        <w:tc>
          <w:tcPr>
            <w:tcW w:w="4275"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金山区漕泾镇东海港水质提升工程</w:t>
            </w:r>
          </w:p>
        </w:tc>
        <w:tc>
          <w:tcPr>
            <w:tcW w:w="2027"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中建八局环保科技有限公司</w:t>
            </w:r>
          </w:p>
        </w:tc>
        <w:tc>
          <w:tcPr>
            <w:tcW w:w="124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674.7407</w:t>
            </w:r>
          </w:p>
        </w:tc>
        <w:tc>
          <w:tcPr>
            <w:tcW w:w="1239"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4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公开招标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4516B3B"/>
    <w:rsid w:val="05791EDF"/>
    <w:rsid w:val="0B1D6673"/>
    <w:rsid w:val="0C6943CE"/>
    <w:rsid w:val="12040402"/>
    <w:rsid w:val="121E0CDB"/>
    <w:rsid w:val="164F0F07"/>
    <w:rsid w:val="186C79F1"/>
    <w:rsid w:val="21D1014B"/>
    <w:rsid w:val="240B1B44"/>
    <w:rsid w:val="24D67A68"/>
    <w:rsid w:val="27E86D24"/>
    <w:rsid w:val="287A7AF8"/>
    <w:rsid w:val="29082BE0"/>
    <w:rsid w:val="29653143"/>
    <w:rsid w:val="2A830A4B"/>
    <w:rsid w:val="2EBC18D7"/>
    <w:rsid w:val="2F406F0F"/>
    <w:rsid w:val="30256E56"/>
    <w:rsid w:val="3C3830A0"/>
    <w:rsid w:val="3DAE0540"/>
    <w:rsid w:val="40100826"/>
    <w:rsid w:val="4517259F"/>
    <w:rsid w:val="479B6B83"/>
    <w:rsid w:val="479E743D"/>
    <w:rsid w:val="485859AE"/>
    <w:rsid w:val="49494CF1"/>
    <w:rsid w:val="49565ECD"/>
    <w:rsid w:val="49B91C4A"/>
    <w:rsid w:val="4DB7601E"/>
    <w:rsid w:val="50561741"/>
    <w:rsid w:val="523D1A16"/>
    <w:rsid w:val="554B2F51"/>
    <w:rsid w:val="5A8E7565"/>
    <w:rsid w:val="5ADC7A61"/>
    <w:rsid w:val="5B9104C7"/>
    <w:rsid w:val="5BD347B4"/>
    <w:rsid w:val="5CF266B4"/>
    <w:rsid w:val="5FFF0CF4"/>
    <w:rsid w:val="627273AC"/>
    <w:rsid w:val="64411A2D"/>
    <w:rsid w:val="67604DC2"/>
    <w:rsid w:val="6B0F3DE5"/>
    <w:rsid w:val="6B5C47B6"/>
    <w:rsid w:val="6F2C3CC9"/>
    <w:rsid w:val="6FB5108B"/>
    <w:rsid w:val="71804C51"/>
    <w:rsid w:val="71B46619"/>
    <w:rsid w:val="71CF5B58"/>
    <w:rsid w:val="72A5479F"/>
    <w:rsid w:val="75A44310"/>
    <w:rsid w:val="76F27F45"/>
    <w:rsid w:val="786951EB"/>
    <w:rsid w:val="79363BD7"/>
    <w:rsid w:val="7C330D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1487</Words>
  <Characters>8477</Characters>
  <Lines>70</Lines>
  <Paragraphs>19</Paragraphs>
  <TotalTime>55</TotalTime>
  <ScaleCrop>false</ScaleCrop>
  <LinksUpToDate>false</LinksUpToDate>
  <CharactersWithSpaces>9945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Administrator</cp:lastModifiedBy>
  <cp:lastPrinted>2019-10-08T01:40:00Z</cp:lastPrinted>
  <dcterms:modified xsi:type="dcterms:W3CDTF">2022-02-07T04:58:35Z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3D09A2A0B7C74A05829434CAF778D436</vt:lpwstr>
  </property>
</Properties>
</file>