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2021</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第十期</w:t>
      </w:r>
    </w:p>
    <w:p>
      <w:pPr>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ascii="仿宋_GB2312" w:hAnsi="宋体" w:eastAsia="仿宋_GB2312" w:cs="仿宋_GB2312"/>
          <w:color w:val="000000"/>
          <w:sz w:val="28"/>
          <w:szCs w:val="28"/>
        </w:rPr>
        <w:t>194</w:t>
      </w:r>
      <w:r>
        <w:rPr>
          <w:rFonts w:hint="eastAsia" w:ascii="仿宋_GB2312" w:hAnsi="宋体" w:eastAsia="仿宋_GB2312" w:cs="仿宋_GB2312"/>
          <w:color w:val="000000"/>
          <w:sz w:val="28"/>
          <w:szCs w:val="28"/>
        </w:rPr>
        <w:t>期</w:t>
      </w:r>
    </w:p>
    <w:p>
      <w:pPr>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8240;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cs="宋体"/>
          <w:sz w:val="28"/>
          <w:szCs w:val="28"/>
        </w:rPr>
        <w:t>一</w:t>
      </w:r>
      <w:r>
        <w:rPr>
          <w:rFonts w:hint="eastAsia" w:ascii="仿宋_GB2312" w:hAnsi="宋体" w:eastAsia="仿宋_GB2312" w:cs="仿宋_GB2312"/>
          <w:color w:val="000000"/>
          <w:sz w:val="28"/>
          <w:szCs w:val="28"/>
        </w:rPr>
        <w:t>年十一月十日</w:t>
      </w:r>
    </w:p>
    <w:p>
      <w:pPr>
        <w:snapToGrid w:val="0"/>
        <w:spacing w:before="100" w:beforeAutospacing="1" w:after="100" w:afterAutospacing="1" w:line="560" w:lineRule="exact"/>
        <w:rPr>
          <w:rFonts w:ascii="方正楷体简体" w:hAnsi="Arial" w:eastAsia="方正楷体简体"/>
          <w:b/>
          <w:bCs/>
          <w:color w:val="000000"/>
          <w:kern w:val="0"/>
          <w:sz w:val="32"/>
          <w:szCs w:val="32"/>
        </w:rPr>
      </w:pPr>
      <w:r>
        <w:pict>
          <v:line id="Line 2" o:spid="_x0000_s1027" o:spt="20" style="position:absolute;left:0pt;margin-left:-17.25pt;margin-top:12.6pt;height:0.45pt;width:468.75pt;z-index:251657216;mso-width-relative:page;mso-height-relative:page;" stroked="t" coordsize="21600,21600">
            <v:path arrowok="t"/>
            <v:fill focussize="0,0"/>
            <v:stroke weight="4.5pt" color="#FF0000"/>
            <v:imagedata o:title=""/>
            <o:lock v:ext="edit"/>
          </v:line>
        </w:pict>
      </w:r>
    </w:p>
    <w:p>
      <w:pPr>
        <w:pStyle w:val="4"/>
        <w:widowControl w:val="0"/>
        <w:spacing w:line="520" w:lineRule="exact"/>
        <w:rPr>
          <w:rFonts w:cs="Times New Roman"/>
        </w:rPr>
      </w:pPr>
      <w:r>
        <w:rPr>
          <w:rFonts w:hint="eastAsia" w:cs="黑体"/>
        </w:rPr>
        <w:t>【法律法规】</w:t>
      </w:r>
    </w:p>
    <w:p>
      <w:pPr>
        <w:spacing w:line="520" w:lineRule="exact"/>
        <w:jc w:val="center"/>
        <w:rPr>
          <w:rFonts w:ascii="黑体" w:eastAsia="黑体"/>
          <w:b/>
          <w:bCs/>
          <w:color w:val="000000"/>
          <w:sz w:val="32"/>
          <w:szCs w:val="32"/>
        </w:rPr>
      </w:pPr>
      <w:r>
        <w:rPr>
          <w:rFonts w:hint="eastAsia" w:ascii="黑体" w:eastAsia="黑体" w:cs="黑体"/>
          <w:b/>
          <w:bCs/>
          <w:color w:val="000000"/>
          <w:sz w:val="32"/>
          <w:szCs w:val="32"/>
        </w:rPr>
        <w:t>关于加强超高层建筑规划建设管理的通知</w:t>
      </w:r>
    </w:p>
    <w:p>
      <w:pPr>
        <w:spacing w:line="520" w:lineRule="exact"/>
        <w:jc w:val="center"/>
        <w:rPr>
          <w:rFonts w:ascii="黑体" w:eastAsia="黑体"/>
          <w:b/>
          <w:bCs/>
          <w:color w:val="000000"/>
          <w:sz w:val="32"/>
          <w:szCs w:val="32"/>
        </w:rPr>
      </w:pPr>
      <w:r>
        <w:rPr>
          <w:rFonts w:hint="eastAsia" w:ascii="仿宋_GB2312" w:hAnsi="Calibri" w:eastAsia="仿宋_GB2312" w:cs="仿宋_GB2312"/>
        </w:rPr>
        <w:t>建科〔</w:t>
      </w:r>
      <w:r>
        <w:rPr>
          <w:rFonts w:ascii="仿宋_GB2312" w:hAnsi="Calibri" w:eastAsia="仿宋_GB2312" w:cs="仿宋_GB2312"/>
        </w:rPr>
        <w:t>2021</w:t>
      </w:r>
      <w:r>
        <w:rPr>
          <w:rFonts w:hint="eastAsia" w:ascii="仿宋_GB2312" w:hAnsi="Calibri" w:eastAsia="仿宋_GB2312" w:cs="仿宋_GB2312"/>
        </w:rPr>
        <w:t>〕</w:t>
      </w:r>
      <w:r>
        <w:rPr>
          <w:rFonts w:ascii="仿宋_GB2312" w:hAnsi="Calibri" w:eastAsia="仿宋_GB2312" w:cs="仿宋_GB2312"/>
        </w:rPr>
        <w:t>76</w:t>
      </w:r>
      <w:r>
        <w:rPr>
          <w:rFonts w:hint="eastAsia" w:ascii="仿宋_GB2312" w:hAnsi="Calibri" w:eastAsia="仿宋_GB2312" w:cs="仿宋_GB2312"/>
        </w:rPr>
        <w:t>号</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各省、自治区住房和城乡建设厅、应急管理厅，直辖市住房和城乡建设（管）委、规划和自然资源局（委）、应急管理局，海南省自然资源和规划厅，新疆生产建设兵团住房和城乡建设局、应急管理局，各省级消防救援总队：</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超高层建筑在集约利用土地资源、推动建筑工程技术进步、促进城市经济社会发展等方面发挥积极作用。但近年来，一些城市脱离实际需求，攀比建设超高层建筑，盲目追求建筑高度第一、形式奇特，抬高建设成本，加剧能源消耗，加大安全管理难度。为贯彻落实新发展理念，统筹发展和安全，科学规划建设管理超高层建筑，促进城市高质量发展，现就有关事项通知如下：</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一、严格管控新建超高层建筑</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（一）从严控制建筑高度。各地要严格控制新建超高层建筑。一般不得新建超高层住宅。城区常住人口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万人口以下城市严格限制新建</w:t>
      </w:r>
      <w:r>
        <w:rPr>
          <w:rFonts w:ascii="仿宋_GB2312" w:hAnsi="宋体" w:eastAsia="仿宋_GB2312" w:cs="仿宋_GB2312"/>
          <w:sz w:val="28"/>
          <w:szCs w:val="28"/>
        </w:rPr>
        <w:t>150</w:t>
      </w:r>
      <w:r>
        <w:rPr>
          <w:rFonts w:hint="eastAsia" w:ascii="仿宋_GB2312" w:hAnsi="宋体" w:eastAsia="仿宋_GB2312" w:cs="仿宋_GB2312"/>
          <w:sz w:val="28"/>
          <w:szCs w:val="28"/>
        </w:rPr>
        <w:t>米以上超高层建筑，不得新建</w:t>
      </w:r>
      <w:r>
        <w:rPr>
          <w:rFonts w:ascii="仿宋_GB2312" w:hAnsi="宋体" w:eastAsia="仿宋_GB2312" w:cs="仿宋_GB2312"/>
          <w:sz w:val="28"/>
          <w:szCs w:val="28"/>
        </w:rPr>
        <w:t>250</w:t>
      </w:r>
      <w:r>
        <w:rPr>
          <w:rFonts w:hint="eastAsia" w:ascii="仿宋_GB2312" w:hAnsi="宋体" w:eastAsia="仿宋_GB2312" w:cs="仿宋_GB2312"/>
          <w:sz w:val="28"/>
          <w:szCs w:val="28"/>
        </w:rPr>
        <w:t>米以上超高层建筑。城区常住人口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万以上城市严格限制新建</w:t>
      </w:r>
      <w:r>
        <w:rPr>
          <w:rFonts w:ascii="仿宋_GB2312" w:hAnsi="宋体" w:eastAsia="仿宋_GB2312" w:cs="仿宋_GB2312"/>
          <w:sz w:val="28"/>
          <w:szCs w:val="28"/>
        </w:rPr>
        <w:t>250</w:t>
      </w:r>
      <w:r>
        <w:rPr>
          <w:rFonts w:hint="eastAsia" w:ascii="仿宋_GB2312" w:hAnsi="宋体" w:eastAsia="仿宋_GB2312" w:cs="仿宋_GB2312"/>
          <w:sz w:val="28"/>
          <w:szCs w:val="28"/>
        </w:rPr>
        <w:t>米以上超高层建筑，不得新建</w:t>
      </w:r>
      <w:r>
        <w:rPr>
          <w:rFonts w:ascii="仿宋_GB2312" w:hAnsi="宋体" w:eastAsia="仿宋_GB2312" w:cs="仿宋_GB2312"/>
          <w:sz w:val="28"/>
          <w:szCs w:val="28"/>
        </w:rPr>
        <w:t>500</w:t>
      </w:r>
      <w:r>
        <w:rPr>
          <w:rFonts w:hint="eastAsia" w:ascii="仿宋_GB2312" w:hAnsi="宋体" w:eastAsia="仿宋_GB2312" w:cs="仿宋_GB2312"/>
          <w:sz w:val="28"/>
          <w:szCs w:val="28"/>
        </w:rPr>
        <w:t>米以上超高层建筑。各地相关部门审批</w:t>
      </w:r>
      <w:r>
        <w:rPr>
          <w:rFonts w:ascii="仿宋_GB2312" w:hAnsi="宋体" w:eastAsia="仿宋_GB2312" w:cs="仿宋_GB2312"/>
          <w:sz w:val="28"/>
          <w:szCs w:val="28"/>
        </w:rPr>
        <w:t>80</w:t>
      </w:r>
      <w:r>
        <w:rPr>
          <w:rFonts w:hint="eastAsia" w:ascii="仿宋_GB2312" w:hAnsi="宋体" w:eastAsia="仿宋_GB2312" w:cs="仿宋_GB2312"/>
          <w:sz w:val="28"/>
          <w:szCs w:val="28"/>
        </w:rPr>
        <w:t>米以上住宅建筑、</w:t>
      </w:r>
      <w:r>
        <w:rPr>
          <w:rFonts w:ascii="仿宋_GB2312" w:hAnsi="宋体" w:eastAsia="仿宋_GB2312" w:cs="仿宋_GB2312"/>
          <w:sz w:val="28"/>
          <w:szCs w:val="28"/>
        </w:rPr>
        <w:t>100</w:t>
      </w:r>
      <w:r>
        <w:rPr>
          <w:rFonts w:hint="eastAsia" w:ascii="仿宋_GB2312" w:hAnsi="宋体" w:eastAsia="仿宋_GB2312" w:cs="仿宋_GB2312"/>
          <w:sz w:val="28"/>
          <w:szCs w:val="28"/>
        </w:rPr>
        <w:t>米以上公共建筑建设项目时，应征求同级消防救援机构意见，以确保与当地消防救援能力相匹配。城区常住人口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万以下城市确需新建</w:t>
      </w:r>
      <w:r>
        <w:rPr>
          <w:rFonts w:ascii="仿宋_GB2312" w:hAnsi="宋体" w:eastAsia="仿宋_GB2312" w:cs="仿宋_GB2312"/>
          <w:sz w:val="28"/>
          <w:szCs w:val="28"/>
        </w:rPr>
        <w:t>150</w:t>
      </w:r>
      <w:r>
        <w:rPr>
          <w:rFonts w:hint="eastAsia" w:ascii="仿宋_GB2312" w:hAnsi="宋体" w:eastAsia="仿宋_GB2312" w:cs="仿宋_GB2312"/>
          <w:sz w:val="28"/>
          <w:szCs w:val="28"/>
        </w:rPr>
        <w:t>米以上超高层建筑的，应报省级住房和城乡建设主管部门审查，并报住房和城乡建设部备案。城区常住人口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万以上城市确需新建</w:t>
      </w:r>
      <w:r>
        <w:rPr>
          <w:rFonts w:ascii="仿宋_GB2312" w:hAnsi="宋体" w:eastAsia="仿宋_GB2312" w:cs="仿宋_GB2312"/>
          <w:sz w:val="28"/>
          <w:szCs w:val="28"/>
        </w:rPr>
        <w:t>250</w:t>
      </w:r>
      <w:r>
        <w:rPr>
          <w:rFonts w:hint="eastAsia" w:ascii="仿宋_GB2312" w:hAnsi="宋体" w:eastAsia="仿宋_GB2312" w:cs="仿宋_GB2312"/>
          <w:sz w:val="28"/>
          <w:szCs w:val="28"/>
        </w:rPr>
        <w:t>米以上超高层建筑的，省级住房和城乡建设主管部门应结合抗震、消防等专题严格论证审查，并报住房和城乡建设部备案复核。</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二）合理确定建筑布局。各地要结合城市空间格局、功能布局，统筹谋划高层和超高层建筑建设，相对集中布局。严格控制生态敏感、自然景观等重点地段的高层建筑建设，不在对历史文化街区、历史地段、世界文化遗产及重要文物保护单位有影响的地方新建高层建筑，不在山边水边以及老城旧城开发强度较高、人口密集、交通拥堵地段新建超高层建筑，不在城市通风廊道上新建超高层建筑群。</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三）深化细化评估论证。各地要充分评估论证超高层建筑建设风险问题和负面影响。尤其是超高层建筑集中地区，要加强超高层建筑建设项目交通影响评价，避免加剧交通拥堵；加强超高层建筑建设项目环境影响评价，防止加剧城市热岛效应，避免形成光污染、高楼峡谷风。强化超高层建筑人员疏散和应急处置预案评估。超高层建筑防灾避难场地应集中就近布置，人均面积不低于</w:t>
      </w:r>
      <w:r>
        <w:rPr>
          <w:rFonts w:ascii="仿宋_GB2312" w:hAnsi="宋体" w:eastAsia="仿宋_GB2312" w:cs="仿宋_GB2312"/>
          <w:sz w:val="28"/>
          <w:szCs w:val="28"/>
        </w:rPr>
        <w:t>1.5</w:t>
      </w:r>
      <w:r>
        <w:rPr>
          <w:rFonts w:hint="eastAsia" w:ascii="宋体" w:hAnsi="宋体" w:cs="宋体"/>
          <w:sz w:val="28"/>
          <w:szCs w:val="28"/>
        </w:rPr>
        <w:t>㎡</w:t>
      </w:r>
      <w:r>
        <w:rPr>
          <w:rFonts w:hint="eastAsia" w:ascii="仿宋_GB2312" w:hAnsi="宋体" w:eastAsia="仿宋_GB2312" w:cs="仿宋_GB2312"/>
          <w:sz w:val="28"/>
          <w:szCs w:val="28"/>
        </w:rPr>
        <w:t>。加强超高层建筑节能管理，标准层平面利用率一般不低于</w:t>
      </w:r>
      <w:r>
        <w:rPr>
          <w:rFonts w:ascii="仿宋_GB2312" w:hAnsi="宋体" w:eastAsia="仿宋_GB2312" w:cs="仿宋_GB2312"/>
          <w:sz w:val="28"/>
          <w:szCs w:val="28"/>
        </w:rPr>
        <w:t>80%</w:t>
      </w:r>
      <w:r>
        <w:rPr>
          <w:rFonts w:hint="eastAsia" w:ascii="仿宋_GB2312" w:hAnsi="宋体" w:eastAsia="仿宋_GB2312" w:cs="仿宋_GB2312"/>
          <w:sz w:val="28"/>
          <w:szCs w:val="28"/>
        </w:rPr>
        <w:t>，绿色建筑水平不得低于三星级标准。</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（四）强化公共投资管理。各地应严格落实政府投资规定，一般不得批准使用公共资金投资建设超高层建筑，严控城区常住人口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万以下城市国有企事业单位投资建设</w:t>
      </w:r>
      <w:r>
        <w:rPr>
          <w:rFonts w:ascii="仿宋_GB2312" w:hAnsi="宋体" w:eastAsia="仿宋_GB2312" w:cs="仿宋_GB2312"/>
          <w:sz w:val="28"/>
          <w:szCs w:val="28"/>
        </w:rPr>
        <w:t>150</w:t>
      </w:r>
      <w:r>
        <w:rPr>
          <w:rFonts w:hint="eastAsia" w:ascii="仿宋_GB2312" w:hAnsi="宋体" w:eastAsia="仿宋_GB2312" w:cs="仿宋_GB2312"/>
          <w:sz w:val="28"/>
          <w:szCs w:val="28"/>
        </w:rPr>
        <w:t>米以上超高层建筑，严控城区常住人口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万以上城市国有企事业单位投资建设</w:t>
      </w:r>
      <w:r>
        <w:rPr>
          <w:rFonts w:ascii="仿宋_GB2312" w:hAnsi="宋体" w:eastAsia="仿宋_GB2312" w:cs="仿宋_GB2312"/>
          <w:sz w:val="28"/>
          <w:szCs w:val="28"/>
        </w:rPr>
        <w:t>250</w:t>
      </w:r>
      <w:r>
        <w:rPr>
          <w:rFonts w:hint="eastAsia" w:ascii="仿宋_GB2312" w:hAnsi="宋体" w:eastAsia="仿宋_GB2312" w:cs="仿宋_GB2312"/>
          <w:sz w:val="28"/>
          <w:szCs w:val="28"/>
        </w:rPr>
        <w:t>米以上超高层建筑。</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（五）压紧夯实决策责任。实行超高层建筑决策责任终身制。城区常住人口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万以下城市新建</w:t>
      </w:r>
      <w:r>
        <w:rPr>
          <w:rFonts w:ascii="仿宋_GB2312" w:hAnsi="宋体" w:eastAsia="仿宋_GB2312" w:cs="仿宋_GB2312"/>
          <w:sz w:val="28"/>
          <w:szCs w:val="28"/>
        </w:rPr>
        <w:t>150</w:t>
      </w:r>
      <w:r>
        <w:rPr>
          <w:rFonts w:hint="eastAsia" w:ascii="仿宋_GB2312" w:hAnsi="宋体" w:eastAsia="仿宋_GB2312" w:cs="仿宋_GB2312"/>
          <w:sz w:val="28"/>
          <w:szCs w:val="28"/>
        </w:rPr>
        <w:t>米以上超高层建筑，城区常住人口</w:t>
      </w:r>
      <w:r>
        <w:rPr>
          <w:rFonts w:ascii="仿宋_GB2312" w:hAnsi="宋体" w:eastAsia="仿宋_GB2312" w:cs="仿宋_GB2312"/>
          <w:sz w:val="28"/>
          <w:szCs w:val="28"/>
        </w:rPr>
        <w:t>300</w:t>
      </w:r>
      <w:r>
        <w:rPr>
          <w:rFonts w:hint="eastAsia" w:ascii="仿宋_GB2312" w:hAnsi="宋体" w:eastAsia="仿宋_GB2312" w:cs="仿宋_GB2312"/>
          <w:sz w:val="28"/>
          <w:szCs w:val="28"/>
        </w:rPr>
        <w:t>万以上城市新建</w:t>
      </w:r>
      <w:r>
        <w:rPr>
          <w:rFonts w:ascii="仿宋_GB2312" w:hAnsi="宋体" w:eastAsia="仿宋_GB2312" w:cs="仿宋_GB2312"/>
          <w:sz w:val="28"/>
          <w:szCs w:val="28"/>
        </w:rPr>
        <w:t>250</w:t>
      </w:r>
      <w:r>
        <w:rPr>
          <w:rFonts w:hint="eastAsia" w:ascii="仿宋_GB2312" w:hAnsi="宋体" w:eastAsia="仿宋_GB2312" w:cs="仿宋_GB2312"/>
          <w:sz w:val="28"/>
          <w:szCs w:val="28"/>
        </w:rPr>
        <w:t>米以上超高层建筑，应按照《重大行政决策程序暂行条例》（国务院令第</w:t>
      </w:r>
      <w:r>
        <w:rPr>
          <w:rFonts w:ascii="仿宋_GB2312" w:hAnsi="宋体" w:eastAsia="仿宋_GB2312" w:cs="仿宋_GB2312"/>
          <w:sz w:val="28"/>
          <w:szCs w:val="28"/>
        </w:rPr>
        <w:t>713</w:t>
      </w:r>
      <w:r>
        <w:rPr>
          <w:rFonts w:hint="eastAsia" w:ascii="仿宋_GB2312" w:hAnsi="宋体" w:eastAsia="仿宋_GB2312" w:cs="仿宋_GB2312"/>
          <w:sz w:val="28"/>
          <w:szCs w:val="28"/>
        </w:rPr>
        <w:t>号），作为重大公共建设项目报城市党委政府审定，实行责任终身追究。</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二、强化既有超高层建筑安全管理</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六）全面排查安全隐患。各地要结合安全生产专项整治三年行动，加强超高层建筑隐患排查指导监督，摸清超高层建筑基本情况，建立隐患排查信息系统。组织指导超高层建筑业主或委托管理单位全面排查超高层建筑地基、结构、供电、供水、供气、材料、电梯、抗震、消防等方面安全隐患，分析易燃可燃建筑外墙外保温材料、电动自行车进楼入户、外墙脱落、传染病防疫、消防救援等方面安全风险，并建立台账。</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七）系统推进隐患整治。各地要加强对超高层建筑隐患整治的监管，对重大安全隐患实行挂牌督办。超高层建筑业主或其委托的管理单位要制定隐患整治路线图、时间表，落实责任单位和责任人。重大安全隐患整治到位前，超高层建筑不得继续使用。超高层建筑业主或其委托的管理单位应组建消防安全专业管理团队，鼓励聘用符合相关规定的专业技术人员担任消防安全管理人，补齐应急救援设施设备，制定人员疏散和应急处置预案、分类分级风险防控方案，组织开展预案演练，提高预防和自救能力。</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八）提升安全保障能力。各地要加强与超高层建筑消防救援需求相匹配的消防救援能力建设，属地消防救援机构要加强对超高层建筑的调研熟悉，定期组织实战演练。指导超高层建筑业主或其委托的管理单位逐栋按标准要求补建微型消防站，组织物业服务人员、保安人员、使用单位人员、志愿者等力量，建立专职消防队、志愿消防队等消防组织。超高层建筑业主或其委托的管理单位应完善供电供水、电梯运维、消防维保等人员的协同工作机制，组建技术处置队，强化与辖区消防救援站的联勤联训联动，提高协同处置效能。</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九）完善运行管理机制。各地要建立健全超高层建筑运行维护管理机制，切实提高监管能力。开展超高层建筑运行维护能耗监测，定期组织能耗监测分析，结果及时公开。指导超高层建筑业主或其委托的管理单位建立超高层建筑运行维护平台，接入物联网城市消防远程监控系统，并与城市运行管理服务平台连通。具备条件的，超高层建筑业主或其委托的管理单位应充分利用超高层建筑信息模型（</w:t>
      </w:r>
      <w:r>
        <w:rPr>
          <w:rFonts w:ascii="仿宋_GB2312" w:hAnsi="宋体" w:eastAsia="仿宋_GB2312" w:cs="仿宋_GB2312"/>
          <w:sz w:val="28"/>
          <w:szCs w:val="28"/>
        </w:rPr>
        <w:t>BIM</w:t>
      </w:r>
      <w:r>
        <w:rPr>
          <w:rFonts w:hint="eastAsia" w:ascii="仿宋_GB2312" w:hAnsi="宋体" w:eastAsia="仿宋_GB2312" w:cs="仿宋_GB2312"/>
          <w:sz w:val="28"/>
          <w:szCs w:val="28"/>
        </w:rPr>
        <w:t>），完善运行维护平台，与城市信息模型（</w:t>
      </w:r>
      <w:r>
        <w:rPr>
          <w:rFonts w:ascii="仿宋_GB2312" w:hAnsi="宋体" w:eastAsia="仿宋_GB2312" w:cs="仿宋_GB2312"/>
          <w:sz w:val="28"/>
          <w:szCs w:val="28"/>
        </w:rPr>
        <w:t>CIM</w:t>
      </w:r>
      <w:r>
        <w:rPr>
          <w:rFonts w:hint="eastAsia" w:ascii="仿宋_GB2312" w:hAnsi="宋体" w:eastAsia="仿宋_GB2312" w:cs="仿宋_GB2312"/>
          <w:sz w:val="28"/>
          <w:szCs w:val="28"/>
        </w:rPr>
        <w:t>）基础平台加强对接。超高层建筑业主或其委托的管理单位应结合超高层建筑设计使用年限，制定超高层建筑运行维护检查方案，委托专业机构定期检测评估超高层建筑设施设备状况，对发现的问题及时修缮维护。</w:t>
      </w:r>
    </w:p>
    <w:p>
      <w:pPr>
        <w:spacing w:line="520" w:lineRule="exact"/>
        <w:rPr>
          <w:rFonts w:ascii="仿宋_GB2312" w:hAnsi="宋体" w:eastAsia="仿宋_GB2312"/>
          <w:sz w:val="28"/>
          <w:szCs w:val="28"/>
        </w:rPr>
      </w:pPr>
      <w:r>
        <w:rPr>
          <w:rFonts w:hint="eastAsia" w:ascii="仿宋_GB2312" w:hAnsi="宋体" w:eastAsia="仿宋_GB2312" w:cs="仿宋_GB2312"/>
          <w:sz w:val="28"/>
          <w:szCs w:val="28"/>
        </w:rPr>
        <w:t>　　各地要抓紧完善超高层建筑规划建设管理协作机制，严格落实相关标准和管控要求，探索建立超高层建筑安全险。建立专家库，定期开展既有超高层建筑使用和管理情况专项排查，有关情况要及时报告住房和城乡建设部。住房和城乡建设部将定期调研评估工作落实情况。</w:t>
      </w:r>
    </w:p>
    <w:p>
      <w:pPr>
        <w:spacing w:line="520" w:lineRule="exact"/>
        <w:ind w:firstLine="31680" w:firstLineChars="200"/>
        <w:rPr>
          <w:rFonts w:ascii="仿宋_GB2312" w:hAnsi="宋体" w:eastAsia="仿宋_GB2312"/>
          <w:sz w:val="28"/>
          <w:szCs w:val="28"/>
        </w:rPr>
      </w:pPr>
    </w:p>
    <w:p>
      <w:pPr>
        <w:pStyle w:val="4"/>
        <w:widowControl w:val="0"/>
        <w:snapToGrid w:val="0"/>
        <w:spacing w:line="520" w:lineRule="exact"/>
        <w:jc w:val="center"/>
        <w:rPr>
          <w:rFonts w:ascii="仿宋_GB2312" w:eastAsia="仿宋_GB2312" w:cs="Times New Roman"/>
          <w:b w:val="0"/>
          <w:bCs w:val="0"/>
          <w:kern w:val="2"/>
          <w:sz w:val="28"/>
          <w:szCs w:val="28"/>
        </w:rPr>
      </w:pPr>
      <w:r>
        <w:rPr>
          <w:rFonts w:ascii="黑体" w:hAnsi="Times New Roman" w:cs="黑体"/>
          <w:color w:val="000000"/>
          <w:kern w:val="2"/>
        </w:rPr>
        <w:t>[</w:t>
      </w:r>
      <w:r>
        <w:rPr>
          <w:rFonts w:hint="eastAsia" w:ascii="黑体" w:hAnsi="Times New Roman" w:cs="黑体"/>
          <w:color w:val="000000"/>
          <w:kern w:val="2"/>
        </w:rPr>
        <w:t>中共中央</w:t>
      </w:r>
      <w:r>
        <w:rPr>
          <w:rFonts w:ascii="黑体" w:hAnsi="Times New Roman" w:cs="黑体"/>
          <w:color w:val="000000"/>
          <w:kern w:val="2"/>
        </w:rPr>
        <w:t xml:space="preserve"> </w:t>
      </w:r>
      <w:r>
        <w:rPr>
          <w:rFonts w:hint="eastAsia" w:ascii="黑体" w:hAnsi="Times New Roman" w:cs="黑体"/>
          <w:color w:val="000000"/>
          <w:kern w:val="2"/>
        </w:rPr>
        <w:t>国务院</w:t>
      </w:r>
      <w:r>
        <w:rPr>
          <w:rFonts w:ascii="黑体" w:hAnsi="Times New Roman" w:cs="黑体"/>
          <w:color w:val="000000"/>
          <w:kern w:val="2"/>
        </w:rPr>
        <w:t>]</w:t>
      </w:r>
      <w:r>
        <w:rPr>
          <w:rFonts w:hint="eastAsia" w:ascii="黑体" w:hAnsi="Times New Roman" w:cs="黑体"/>
          <w:color w:val="000000"/>
          <w:kern w:val="2"/>
        </w:rPr>
        <w:t>印发《关于推动城乡建设绿色发展的意见》</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新华社北京</w:t>
      </w:r>
      <w:r>
        <w:rPr>
          <w:rFonts w:ascii="仿宋_GB2312" w:eastAsia="仿宋_GB2312" w:cs="仿宋_GB2312"/>
          <w:b w:val="0"/>
          <w:bCs w:val="0"/>
          <w:kern w:val="2"/>
          <w:sz w:val="28"/>
          <w:szCs w:val="28"/>
        </w:rPr>
        <w:t>10</w:t>
      </w:r>
      <w:r>
        <w:rPr>
          <w:rFonts w:hint="eastAsia" w:ascii="仿宋_GB2312" w:eastAsia="仿宋_GB2312" w:cs="仿宋_GB2312"/>
          <w:b w:val="0"/>
          <w:bCs w:val="0"/>
          <w:kern w:val="2"/>
          <w:sz w:val="28"/>
          <w:szCs w:val="28"/>
        </w:rPr>
        <w:t>月</w:t>
      </w:r>
      <w:r>
        <w:rPr>
          <w:rFonts w:ascii="仿宋_GB2312" w:eastAsia="仿宋_GB2312" w:cs="仿宋_GB2312"/>
          <w:b w:val="0"/>
          <w:bCs w:val="0"/>
          <w:kern w:val="2"/>
          <w:sz w:val="28"/>
          <w:szCs w:val="28"/>
        </w:rPr>
        <w:t>21</w:t>
      </w:r>
      <w:r>
        <w:rPr>
          <w:rFonts w:hint="eastAsia" w:ascii="仿宋_GB2312" w:eastAsia="仿宋_GB2312" w:cs="仿宋_GB2312"/>
          <w:b w:val="0"/>
          <w:bCs w:val="0"/>
          <w:kern w:val="2"/>
          <w:sz w:val="28"/>
          <w:szCs w:val="28"/>
        </w:rPr>
        <w:t>日电</w:t>
      </w:r>
      <w:r>
        <w:rPr>
          <w:rFonts w:ascii="仿宋_GB2312" w:eastAsia="仿宋_GB2312" w:cs="仿宋_GB2312"/>
          <w:b w:val="0"/>
          <w:bCs w:val="0"/>
          <w:kern w:val="2"/>
          <w:sz w:val="28"/>
          <w:szCs w:val="28"/>
        </w:rPr>
        <w:t xml:space="preserve"> </w:t>
      </w:r>
      <w:r>
        <w:rPr>
          <w:rFonts w:hint="eastAsia" w:ascii="仿宋_GB2312" w:eastAsia="仿宋_GB2312" w:cs="仿宋_GB2312"/>
          <w:b w:val="0"/>
          <w:bCs w:val="0"/>
          <w:kern w:val="2"/>
          <w:sz w:val="28"/>
          <w:szCs w:val="28"/>
        </w:rPr>
        <w:t>近日，中共中央办公厅、国务院办公厅印发了《关于推动城乡建设绿色发展的意见》，并发出通知，要求各地区各部门结合实际认真贯彻落实。</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《关于推动城乡建设绿色发展的意见》主要内容如下。</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城乡建设是推动绿色发展、建设美丽中国的重要载体。党的十八大以来，我国人居环境持续改善，住房水平显著提高，同时仍存在整体性缺乏、系统性不足、宜居性不高、包容性不够等问题，大量建设、大量消耗、大量排放的建设方式尚未根本扭转。为推动城乡建设绿色发展，现提出如下意见。</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一、总体要求</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指导思想。以习近平新时代中国特色社会主义思想为指导，深入贯彻党的十九大和十九届二中、三中、四中、五中全会精神，践行习近平生态文明思想，按照党中央、国务院决策部署，立足新发展阶段、贯彻新发展理念、构建新发展格局，坚持以人民为中心，坚持生态优先、节约优先、保护优先，坚持系统观念，统筹发展和安全，同步推进物质文明建设与生态文明建设，落实碳达峰、碳中和目标任务，推进城市更新行动、乡村建设行动，加快转变城乡建设方式，促进经济社会发展全面绿色转型，为全面建设社会主义现代化国家奠定坚实基础。</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工作原则。坚持人与自然和谐共生，尊重自然、顺应自然、保护自然，推动构建人与自然生命共同体。坚持整体与局部相协调，统筹规划、建设、管理三大环节，统筹城镇和乡村建设。坚持效率与均衡并重，促进城乡资源能源节约集约利用，实现人口、经济发展与生态资源协调。坚持公平与包容相融合，完善城乡基础设施，推进基本公共服务均等化。坚持保护与发展相统一，传承中华优秀传统文化，推动创造性转化、创新性发展。坚持党建引领与群众共建共治共享相结合，完善群众参与机制，共同创造美好环境。</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（三）总体目标</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到</w:t>
      </w:r>
      <w:r>
        <w:rPr>
          <w:rFonts w:ascii="仿宋_GB2312" w:eastAsia="仿宋_GB2312" w:cs="仿宋_GB2312"/>
          <w:b w:val="0"/>
          <w:bCs w:val="0"/>
          <w:kern w:val="2"/>
          <w:sz w:val="28"/>
          <w:szCs w:val="28"/>
        </w:rPr>
        <w:t>2025</w:t>
      </w:r>
      <w:r>
        <w:rPr>
          <w:rFonts w:hint="eastAsia" w:ascii="仿宋_GB2312" w:eastAsia="仿宋_GB2312" w:cs="仿宋_GB2312"/>
          <w:b w:val="0"/>
          <w:bCs w:val="0"/>
          <w:kern w:val="2"/>
          <w:sz w:val="28"/>
          <w:szCs w:val="28"/>
        </w:rPr>
        <w:t>年，城乡建设绿色发展体制机制和政策体系基本建立，建设方式绿色转型成效显著，碳减排扎实推进，城市整体性、系统性、生长性增强，“城市病”问题缓解，城乡生态环境质量整体改善，城乡发展质量和资源环境承载能力明显提升，综合治理能力显著提高，绿色生活方式普遍推广。</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到</w:t>
      </w:r>
      <w:r>
        <w:rPr>
          <w:rFonts w:ascii="仿宋_GB2312" w:eastAsia="仿宋_GB2312" w:cs="仿宋_GB2312"/>
          <w:b w:val="0"/>
          <w:bCs w:val="0"/>
          <w:kern w:val="2"/>
          <w:sz w:val="28"/>
          <w:szCs w:val="28"/>
        </w:rPr>
        <w:t>2035</w:t>
      </w:r>
      <w:r>
        <w:rPr>
          <w:rFonts w:hint="eastAsia" w:ascii="仿宋_GB2312" w:eastAsia="仿宋_GB2312" w:cs="仿宋_GB2312"/>
          <w:b w:val="0"/>
          <w:bCs w:val="0"/>
          <w:kern w:val="2"/>
          <w:sz w:val="28"/>
          <w:szCs w:val="28"/>
        </w:rPr>
        <w:t>年，城乡建设全面实现绿色发展，碳减排水平快速提升，城市和乡村品质全面提升，人居环境更加美好，城乡建设领域治理体系和治理能力基本实现现代化，美丽中国建设目标基本实现。</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二、推进城乡建设一体化发展</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促进区域和城市群绿色发展。建立健全区域和城市群绿色发展协调机制，充分发挥各城市比较优势，促进资源有效配置。在国土空间规划中统筹划定生态保护红线、永久基本农田、城镇开发边界等管控边界，统筹生产、生活、生态空间，实施最严格的耕地保护制度，建立水资源刚性约束制度，建设与资源环境承载能力相匹配、重大风险防控相结合的空间格局。统筹区域、城市群和都市圈内大中小城市住房建设，与人口构成、产业结构相适应。协同建设区域生态网络和绿道体系，衔接生态保护红线、环境质量底线、资源利用上线和生态环境准入清单，改善区域生态环境。推进区域重大基础设施和公共服务设施共建共享，建立功能完善、衔接紧密、保障有力的城市群综合立体交通等现代化设施网络体系。</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建设人与自然和谐共生的美丽城市。建立分层次、分区域协调管控机制，以自然资源承载能力和生态环境容量为基础，合理确定城市人口、用水、用地规模，合理确定开发建设密度和强度。提高中心城市综合承载能力，建设一批产城融合、职住平衡、生态宜居、交通便利的郊区新城，推动多中心、组团式发展。落实规划环评要求和防噪声距离。大力推进城市节水，提高水资源集约节约利用水平。实施海绵城市建设，完善城市防洪排涝体系，提高城市防灾减灾能力，增强城市韧性。实施城市生态修复工程，保护城市山体自然风貌，修复江河、湖泊、湿地，加强城市公园和绿地建设，推进立体绿化，构建连续完整的生态基础设施体系。实施城市功能完善工程，加强婴幼儿照护机构、幼儿园、中小学校、医疗卫生机构、养老服务机构、儿童福利机构、未成年人救助保护机构、社区足球场地等设施建设，增加公共活动空间，建设体育公园，完善文化和旅游消费场所设施，推动发展城市新业态、新功能。建立健全推进城市生态修复、功能完善工程标准规范和工作体系。推动绿色城市、森林城市、“无废城市”建设，深入开展绿色社区创建行动。推进以县城为重要载体的城镇化建设，加强县城绿色低碳建设，大力提升县城公共设施和服务水平。</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打造绿色生态宜居的美丽乡村。按照产业兴旺、生态宜居、乡风文明、治理有效、生活富裕的总要求，以持续改善农村人居环境为目标，建立乡村建设评价机制，探索县域乡村发展路径。提高农房设计和建造水平，建设满足乡村生产生活实际需要的新型农房，完善水、电、气、厕配套附属设施，加强既有农房节能改造。保护塑造乡村风貌，延续乡村历史文脉，严格落实有关规定，不破坏地形地貌、不拆传统民居、不砍老树、不盖高楼。统筹布局县城、中心镇、行政村基础设施和公共服务设施，促进城乡设施联动发展。提高镇村设施建设水平，持续推进农村生活垃圾、污水、厕所粪污、畜禽养殖粪污治理，实施农村水系综合整治，推进生态清洁流域建设，加强水土流失综合治理，加强农村防灾减灾能力建设。立足资源优势打造各具特色的农业全产业链，发展多种形式适度规模经营，支持以“公司</w:t>
      </w:r>
      <w:r>
        <w:rPr>
          <w:rFonts w:ascii="仿宋_GB2312" w:eastAsia="仿宋_GB2312" w:cs="仿宋_GB2312"/>
          <w:b w:val="0"/>
          <w:bCs w:val="0"/>
          <w:kern w:val="2"/>
          <w:sz w:val="28"/>
          <w:szCs w:val="28"/>
        </w:rPr>
        <w:t>+</w:t>
      </w:r>
      <w:r>
        <w:rPr>
          <w:rFonts w:hint="eastAsia" w:ascii="仿宋_GB2312" w:eastAsia="仿宋_GB2312" w:cs="仿宋_GB2312"/>
          <w:b w:val="0"/>
          <w:bCs w:val="0"/>
          <w:kern w:val="2"/>
          <w:sz w:val="28"/>
          <w:szCs w:val="28"/>
        </w:rPr>
        <w:t>农户”等模式对接市场，培育乡村文化、旅游、休闲、民宿、健康养老、传统手工艺等新业态，强化农产品及其加工副产物综合利用，拓宽农民增收渠道，促进产镇融合、产村融合，推动农村一二三产业融合发展。</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三、转变城乡建设发展方式</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（一）建设高品质绿色建筑。实施建筑领域碳达峰、碳中和行动。规范绿色建筑设计、施　　工、运行、管理，鼓励建设绿色农房。推进既有建筑绿色化改造，鼓励与城镇老旧小区改造、农村危房改造、抗震加固等同步实施。开展绿色建筑、节约型机关、绿色学校、绿色医院创建行动。加强财政、金融、规划、建设等政策支持，推动高质量绿色建筑规模化发展，大力推广超低能耗、近零能耗建筑，发展零碳建筑。实施绿色建筑统一标识制度。建立城市建筑用水、用电、用气、用热等数据共享机制，提升建筑能耗监测能力。推动区域建筑能效提升，推广合同能源管理、合同节水管理服务模式，降低建筑运行能耗、水耗，大力推动可再生能源应用，鼓励智能光伏与绿色建筑融合创新发展。</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提高城乡基础设施体系化水平。建立健全基础设施建档制度，普查现有基础设施，统筹地下空间综合利用。推进城乡基础设施补短板和更新改造专项行动以及体系化建设，提高基础设施绿色、智能、协同、安全水平。加强公交优先、绿色出行的城市街区建设，合理布局和建设城市公交专用道、公交场站、车船用加气加注站、电动汽车充换电站，加快发展智能网联汽车、新能源汽车、智慧停车及无障碍基础设施，强化城市轨道交通与其他交通方式衔接。加强交通噪声管控，落实城市交通设计、规划、建设和运行噪声技术要求。加强城市高层建筑、大型商业综合体等重点场所消防安全管理，打通消防生命通道，推进城乡应急避难场所建设。持续推动城镇污水处理提质增效，完善再生水、集蓄雨水等非常规水源利用系统，推进城镇污水管网全覆盖，建立污水处理系统运营管理长效机制。因地制宜加快连接港区管网建设，做好船舶生活污水收集处理。统筹推进煤改电、煤改气及集中供热替代等，加快农村电网、天然气管网、热力管网等建设改造。</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加强城乡历史文化保护传承。建立完善城乡历史文化保护传承体系，健全管理监督机制，完善保护标准和政策法规，严格落实责任，依法问责处罚。开展历史文化资源普查，做好测绘、建档、挂牌工作。建立历史文化名城、名镇、名村及传统村落保护制度，加大保护力度，不拆除历史建筑，不拆真遗存，不建假古董，做到按级施保、应保尽保。完善项目审批、财政支持、社会参与等制度机制，推动历史建筑绿色化更新改造、合理利用。建立保护项目维护修缮机制，保护和培养传统工匠队伍，传承传统建筑绿色营造方式。</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四）实现工程建设全过程绿色建造。开展绿色建造示范工程创建行动，推广绿色化、工业化、信息化、集约化、产业化建造方式，加强技术创新和集成，利用新技术实现精细化设计和施工。大力发展装配式建筑，重点推动钢结构装配式住宅建设，不断提升构件标准化水平，推动形成完整产业链，推动智能建造和建筑工业化协同发展。完善绿色建材产品认证制度，开展绿色建材应用示范工程建设，鼓励使用综合利用产品。加强建筑材料循环利用，促进建筑垃圾减量化，严格施工扬尘管控，采取综合降噪措施管控施工噪声。推动传统建筑业转型升级，完善工程建设组织模式，加快推行工程总承包，推广全过程工程咨询，推进民用建筑工程建筑师负责制。加快推进工程造价改革。改革建筑劳动用工制度，大力发展专业作业企业，培育职业化、专业化、技能化建筑产业工人队伍。</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五）推动形成绿色生活方式。推广节能低碳节水用品，推动太阳能、再生水等应用，鼓励使用环保再生产品和绿色设计产品，减少一次性消费品和包装用材消耗。倡导绿色装修，鼓励选用绿色建材、家具、家电。持续推进垃圾分类和减量化、资源化，推动生活垃圾源头减量，建立健全生活垃圾分类投放、分类收集、分类转运、分类处理系统。加强危险废物、医疗废物收集处理，建立完善应急处置机制。科学制定城市慢行系统规划，因地制宜建设自行车专用道和绿道，全面开展人行道净化行动，改造提升重点城市步行街。深入开展绿色出行创建行动，优化交通出行结构，鼓励公众选择公共交通、自行车和步行等出行方式。</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四、创新工作方法</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统筹城乡规划建设管理。坚持总体国家安全观，以城乡建设绿色发展为目标，加强顶层设计，编制相关规划，建立规划、建设、管理三大环节统筹机制，统筹城市布局的经济需要、生活需要、生态需要、安全需要，统筹地上地下空间综合利用，统筹各类基础设施建设，系统推进重大工程项目。创新城乡建设管控和引导机制，完善城市形态，提升建筑品质，塑造时代特色风貌。完善城乡规划、建设、管理制度，动态管控建设进程，确保一张蓝图实施不走样、不变形。</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建立城市体检评估制度。建立健全“一年一体检、五年一评估”的城市体检评估制度，强化对相关规划实施情况和历史文化保护传承、基础设施效率、生态建设、污染防治等的评估。制定城市体检评估标准，将绿色发展纳入评估指标体系。城市政府作为城市体检评估工作主体，要定期开展体检评估，制定年度建设和整治行动计划，依法依规向社会公开体检评估结果。加强对相关规划实施的监督，维护规划的严肃性权威性。</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加大科技创新力度。完善以市场为导向的城乡建设绿色技术创新体系，培育壮大一批绿色低碳技术创新企业，充分发挥国家工程研究中心、国家技术创新中心、国家企业技术中心、国家重点实验室等创新平台对绿色低碳技术的支撑作用。加强国家科技计划研究，系统布局一批支撑城乡建设绿色发展的研发项目，组织开展重大科技攻关，加大科技成果集成创新力度。建立科技项目成果库和公开制度，鼓励科研院所、企业等主体融通创新、利益共享，促进科技成果转化。建设国际化工程建设标准体系，完善相关标准。</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四）推动城市智慧化建设。建立完善智慧城市建设标准和政策法规，加快推进信息技术与城市建设技术、业务、数据融合。开展城市信息模型平台建设，推动建筑信息模型深化应用，推进工程建设项目智能化管理，促进城市建设及运营模式变革。搭建城市运行管理服务平台，加强对市政基础设施、城市环境、城市交通、城市防灾的智慧化管理，推动城市地下空间信息化、智能化管控，提升城市安全风险监测预警水平。完善工程建设项目审批管理系统，逐步实现智能化全程网上办理，推进与投资项目在线审批监管平台等互联互通。搭建智慧物业管理服务平台，加强社区智慧化建设管理，为群众提供便捷服务。</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五）推动美好环境共建共治共享。建立党组织统一领导、政府依法履责、各类组织积极协同、群众广泛参与，自治、法治、德治相结合的基层治理体系，推动形成建设美好人居环境的合力，实现决策共谋、发展共建、建设共管、效果共评、成果共享。下沉公共服务和社会管理资源，按照有关规定探索适宜城乡社区治理的项目招投标、奖励等机制，解决群众身边、房前屋后的实事小事。以城镇老旧小区改造、历史文化街区保护与利用、美丽乡村建设、生活垃圾分类等为抓手和载体，构建社区生活圈，广泛发动组织群众参与城乡社区治理，共同建设美好家园。</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五、加强组织实施</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一）加强党的全面领导。把党的全面领导贯穿城乡建设绿色发展各方面各环节，不折不扣贯彻落实中央决策部署。建立省负总责、市县具体负责的工作机制，地方各级党委和政府要充分认识推动城乡建设绿色发展的重要意义，加快形成党委统一领导、党政齐抓共管的工作格局。各省（自治区、直辖市）要根据本意见确定本地区推动城乡建设绿色发展的工作目标和重点任务，加强统筹协调，推进解决重点难点问题。市、县作为工作责任主体，要制定具体措施，切实抓好组织落实。</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二）完善工作机制。加强部门统筹协调，住房城乡建设、发展改革、工业和信息化、民政、财政、自然资源、生态环境、交通运输、水利、农业农村、文化和旅游、金融、市场监管等部门要按照各自职责完善有关支持政策，推动落实重点任务。加大财政、金融支持力度，完善绿色金融体系，支持城乡建设绿色发展重大项目和重点任务。各地要结合实际建立相关工作机制，确保各项任务落实落地。</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三）健全支撑体系。建立完善推动城乡建设绿色发展的体制机制和制度，推进城乡建设领域治理体系和治理能力现代化。制定修订城乡建设和历史文化保护传承等法律法规，为城乡建设绿色发展提供法治保障。深化城市管理和执法体制改革，加强队伍建设，推进严格规范公正文明执法，提高城市管理和执法能力水平。健全社会公众满意度评价和第三方考评机制，由群众评判城乡建设绿色发展成效。加快管理、技术和机制创新，培育绿色发展新动能，实现动力变革。</w:t>
      </w:r>
    </w:p>
    <w:p>
      <w:pPr>
        <w:pStyle w:val="4"/>
        <w:widowControl w:val="0"/>
        <w:snapToGrid w:val="0"/>
        <w:spacing w:line="520" w:lineRule="exact"/>
        <w:rPr>
          <w:rFonts w:ascii="仿宋_GB2312" w:eastAsia="仿宋_GB2312" w:cs="Times New Roman"/>
          <w:b w:val="0"/>
          <w:bCs w:val="0"/>
          <w:kern w:val="2"/>
          <w:sz w:val="28"/>
          <w:szCs w:val="28"/>
        </w:rPr>
      </w:pPr>
      <w:r>
        <w:rPr>
          <w:rFonts w:hint="eastAsia" w:ascii="仿宋_GB2312" w:eastAsia="仿宋_GB2312" w:cs="仿宋_GB2312"/>
          <w:b w:val="0"/>
          <w:bCs w:val="0"/>
          <w:kern w:val="2"/>
          <w:sz w:val="28"/>
          <w:szCs w:val="28"/>
        </w:rPr>
        <w:t>　　（四）加强培训宣传。中央组织部、住房城乡建设部要会同国家发展改革委、自然资源部、生态环境部加强培训，不断提高党政主要负责同志推动城乡建设绿色发展的能力和水平。在各级党校（行政学院）、干部学院增加相关培训课程，编辑出版系列教材，教育引导各级领导干部和广大专业技术人员尊重城乡发展规律，尊重自然生态环境，尊重历史文化传承，重视和回应群众诉求。加强国际交流合作，广泛吸收借鉴先进经验。采取多种形式加强教育宣传和舆论引导，普及城乡建设绿色发展法律法规和科学知识。</w:t>
      </w:r>
    </w:p>
    <w:p>
      <w:pPr>
        <w:spacing w:line="520" w:lineRule="exact"/>
        <w:rPr>
          <w:rFonts w:ascii="仿宋_GB2312" w:hAnsi="宋体" w:eastAsia="仿宋_GB2312"/>
          <w:sz w:val="28"/>
          <w:szCs w:val="28"/>
        </w:rPr>
      </w:pPr>
    </w:p>
    <w:p>
      <w:pPr>
        <w:pStyle w:val="4"/>
        <w:widowControl w:val="0"/>
        <w:snapToGrid w:val="0"/>
        <w:spacing w:line="520" w:lineRule="exact"/>
        <w:jc w:val="both"/>
        <w:rPr>
          <w:rFonts w:cs="Times New Roman"/>
        </w:rPr>
      </w:pPr>
      <w:r>
        <w:rPr>
          <w:rFonts w:hint="eastAsia" w:cs="黑体"/>
        </w:rPr>
        <w:t>【公示公告】</w:t>
      </w:r>
    </w:p>
    <w:p>
      <w:pPr>
        <w:snapToGrid w:val="0"/>
        <w:spacing w:line="240" w:lineRule="atLeast"/>
        <w:jc w:val="center"/>
        <w:rPr>
          <w:rFonts w:ascii="黑体" w:eastAsia="黑体"/>
          <w:b/>
          <w:bCs/>
          <w:color w:val="000000"/>
          <w:sz w:val="32"/>
          <w:szCs w:val="32"/>
        </w:rPr>
      </w:pPr>
      <w:r>
        <w:rPr>
          <w:rFonts w:hint="eastAsia" w:ascii="黑体" w:eastAsia="黑体" w:cs="黑体"/>
          <w:b/>
          <w:bCs/>
          <w:color w:val="000000"/>
          <w:sz w:val="32"/>
          <w:szCs w:val="32"/>
        </w:rPr>
        <w:t>金山区建筑管理所</w:t>
      </w:r>
      <w:r>
        <w:rPr>
          <w:rFonts w:ascii="黑体" w:eastAsia="黑体" w:cs="黑体"/>
          <w:b/>
          <w:bCs/>
          <w:color w:val="000000"/>
          <w:sz w:val="32"/>
          <w:szCs w:val="32"/>
        </w:rPr>
        <w:t>2021</w:t>
      </w:r>
      <w:r>
        <w:rPr>
          <w:rFonts w:hint="eastAsia" w:ascii="黑体" w:eastAsia="黑体" w:cs="黑体"/>
          <w:b/>
          <w:bCs/>
          <w:color w:val="000000"/>
          <w:sz w:val="32"/>
          <w:szCs w:val="32"/>
        </w:rPr>
        <w:t>年</w:t>
      </w:r>
      <w:r>
        <w:rPr>
          <w:rFonts w:ascii="黑体" w:eastAsia="黑体" w:cs="黑体"/>
          <w:b/>
          <w:bCs/>
          <w:color w:val="000000"/>
          <w:sz w:val="32"/>
          <w:szCs w:val="32"/>
        </w:rPr>
        <w:t>10</w:t>
      </w:r>
      <w:r>
        <w:rPr>
          <w:rFonts w:hint="eastAsia" w:ascii="黑体" w:eastAsia="黑体" w:cs="黑体"/>
          <w:b/>
          <w:bCs/>
          <w:color w:val="000000"/>
          <w:sz w:val="32"/>
          <w:szCs w:val="32"/>
        </w:rPr>
        <w:t>月份资质受理情况</w:t>
      </w:r>
    </w:p>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:9</w:t>
      </w:r>
      <w:r>
        <w:rPr>
          <w:rFonts w:hint="eastAsia" w:ascii="仿宋_GB2312" w:eastAsia="仿宋_GB2312" w:cs="仿宋_GB2312"/>
          <w:b/>
          <w:bCs/>
          <w:sz w:val="24"/>
          <w:szCs w:val="24"/>
        </w:rPr>
        <w:t>家</w:t>
      </w:r>
    </w:p>
    <w:tbl>
      <w:tblPr>
        <w:tblStyle w:val="30"/>
        <w:tblW w:w="9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jc w:val="center"/>
        </w:trPr>
        <w:tc>
          <w:tcPr>
            <w:tcW w:w="1368" w:type="dxa"/>
            <w:vAlign w:val="center"/>
          </w:tcPr>
          <w:p>
            <w:pPr>
              <w:snapToGrid w:val="0"/>
              <w:spacing w:line="240" w:lineRule="atLeast"/>
              <w:jc w:val="center"/>
              <w:textAlignment w:val="center"/>
              <w:rPr>
                <w:rFonts w:ascii="仿宋_GB2312" w:eastAsia="仿宋_GB2312"/>
                <w:b/>
                <w:bCs/>
              </w:rPr>
            </w:pPr>
            <w:bookmarkStart w:id="0" w:name="_GoBack"/>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2021-10-08</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上海兵鹏建筑装饰设计有限公司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上海姿宇网络科技有限公司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上海和亨建筑装饰工程有限公司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上海鼓元建筑装饰工程有限公司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立方体文化发展（上海）有限公司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电子和智能化工程二级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上海诺鋆建筑幕墙工程有限公司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建筑幕墙工程二级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上海纳通和建筑工程有限公司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上海康邺建筑装饰工程有限公司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上海新宜能环境科技有限公司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电子和智能化工程二级</w:t>
            </w:r>
          </w:p>
        </w:tc>
      </w:tr>
      <w:bookmarkEnd w:id="0"/>
    </w:tbl>
    <w:p>
      <w:pPr>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:2</w:t>
      </w:r>
      <w:r>
        <w:rPr>
          <w:rFonts w:hint="eastAsia" w:ascii="仿宋_GB2312" w:eastAsia="仿宋_GB2312" w:cs="仿宋_GB2312"/>
          <w:b/>
          <w:bCs/>
          <w:sz w:val="24"/>
          <w:szCs w:val="24"/>
        </w:rPr>
        <w:t>家</w:t>
      </w:r>
    </w:p>
    <w:tbl>
      <w:tblPr>
        <w:tblStyle w:val="30"/>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368"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上海金岭建设有限公司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建筑装修装饰工程二级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368" w:type="dxa"/>
            <w:vAlign w:val="center"/>
          </w:tcPr>
          <w:p>
            <w:pPr>
              <w:jc w:val="center"/>
              <w:rPr>
                <w:rFonts w:ascii="仿宋_GB2312" w:hAnsi="仿宋_GB2312" w:eastAsia="仿宋_GB2312"/>
              </w:rPr>
            </w:pPr>
            <w:r>
              <w:rPr>
                <w:rFonts w:ascii="仿宋_GB2312" w:hAnsi="仿宋_GB2312" w:eastAsia="仿宋_GB2312" w:cs="仿宋_GB2312"/>
              </w:rPr>
              <w:t>2021-10-23</w:t>
            </w:r>
          </w:p>
        </w:tc>
        <w:tc>
          <w:tcPr>
            <w:tcW w:w="4200" w:type="dxa"/>
            <w:vAlign w:val="center"/>
          </w:tcPr>
          <w:p>
            <w:pPr>
              <w:jc w:val="center"/>
              <w:rPr>
                <w:rFonts w:ascii="仿宋_GB2312" w:hAnsi="仿宋_GB2312" w:eastAsia="仿宋_GB2312"/>
              </w:rPr>
            </w:pPr>
            <w:r>
              <w:rPr>
                <w:rFonts w:hint="eastAsia" w:ascii="仿宋_GB2312" w:hAnsi="仿宋_GB2312" w:eastAsia="仿宋_GB2312" w:cs="仿宋_GB2312"/>
              </w:rPr>
              <w:t>上海东健净化股份有限公司</w:t>
            </w:r>
          </w:p>
        </w:tc>
        <w:tc>
          <w:tcPr>
            <w:tcW w:w="3453" w:type="dxa"/>
            <w:vAlign w:val="center"/>
          </w:tcPr>
          <w:p>
            <w:pPr>
              <w:jc w:val="center"/>
              <w:rPr>
                <w:rFonts w:ascii="仿宋_GB2312" w:hAnsi="仿宋_GB2312" w:eastAsia="仿宋_GB2312"/>
              </w:rPr>
            </w:pPr>
            <w:r>
              <w:rPr>
                <w:rFonts w:hint="eastAsia" w:ascii="仿宋_GB2312" w:hAnsi="仿宋_GB2312" w:eastAsia="仿宋_GB2312" w:cs="仿宋_GB2312"/>
              </w:rPr>
              <w:t>消防设施工程二级</w:t>
            </w:r>
          </w:p>
        </w:tc>
      </w:tr>
    </w:tbl>
    <w:p>
      <w:pPr>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新资质审批（监理资质）</w:t>
      </w:r>
      <w:r>
        <w:rPr>
          <w:rFonts w:ascii="仿宋_GB2312" w:eastAsia="仿宋_GB2312" w:cs="仿宋_GB2312"/>
          <w:b/>
          <w:bCs/>
          <w:sz w:val="24"/>
          <w:szCs w:val="24"/>
        </w:rPr>
        <w:t>:0</w:t>
      </w:r>
      <w:r>
        <w:rPr>
          <w:rFonts w:hint="eastAsia" w:ascii="仿宋_GB2312" w:eastAsia="仿宋_GB2312" w:cs="仿宋_GB2312"/>
          <w:b/>
          <w:bCs/>
          <w:sz w:val="24"/>
          <w:szCs w:val="24"/>
        </w:rPr>
        <w:t>家</w:t>
      </w:r>
    </w:p>
    <w:tbl>
      <w:tblPr>
        <w:tblStyle w:val="30"/>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0" w:hRule="atLeast"/>
        </w:trPr>
        <w:tc>
          <w:tcPr>
            <w:tcW w:w="1368"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snapToGrid w:val="0"/>
              <w:spacing w:line="240" w:lineRule="atLeast"/>
              <w:jc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68" w:type="dxa"/>
            <w:vAlign w:val="center"/>
          </w:tcPr>
          <w:p>
            <w:pPr>
              <w:jc w:val="center"/>
              <w:rPr>
                <w:rFonts w:ascii="仿宋_GB2312" w:hAnsi="仿宋_GB2312" w:eastAsia="仿宋_GB2312"/>
              </w:rPr>
            </w:pPr>
          </w:p>
        </w:tc>
        <w:tc>
          <w:tcPr>
            <w:tcW w:w="4200" w:type="dxa"/>
            <w:vAlign w:val="center"/>
          </w:tcPr>
          <w:p>
            <w:pPr>
              <w:jc w:val="center"/>
              <w:rPr>
                <w:rFonts w:ascii="仿宋_GB2312" w:hAnsi="仿宋_GB2312" w:eastAsia="仿宋_GB2312"/>
              </w:rPr>
            </w:pPr>
          </w:p>
        </w:tc>
        <w:tc>
          <w:tcPr>
            <w:tcW w:w="3453" w:type="dxa"/>
            <w:vAlign w:val="center"/>
          </w:tcPr>
          <w:p>
            <w:pPr>
              <w:jc w:val="center"/>
              <w:rPr>
                <w:rFonts w:ascii="仿宋_GB2312" w:hAnsi="仿宋_GB2312" w:eastAsia="仿宋_GB2312"/>
              </w:rPr>
            </w:pPr>
          </w:p>
        </w:tc>
      </w:tr>
    </w:tbl>
    <w:p>
      <w:pPr>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r>
        <w:rPr>
          <w:rFonts w:ascii="黑体" w:eastAsia="黑体" w:cs="黑体"/>
          <w:b/>
          <w:bCs/>
          <w:sz w:val="32"/>
          <w:szCs w:val="32"/>
        </w:rPr>
        <w:t>2021</w:t>
      </w:r>
      <w:r>
        <w:rPr>
          <w:rFonts w:hint="eastAsia" w:ascii="黑体" w:eastAsia="黑体" w:cs="黑体"/>
          <w:b/>
          <w:bCs/>
          <w:sz w:val="32"/>
          <w:szCs w:val="32"/>
        </w:rPr>
        <w:t>年</w:t>
      </w:r>
      <w:r>
        <w:rPr>
          <w:rFonts w:ascii="黑体" w:eastAsia="黑体" w:cs="黑体"/>
          <w:b/>
          <w:bCs/>
          <w:sz w:val="32"/>
          <w:szCs w:val="32"/>
        </w:rPr>
        <w:t>10</w:t>
      </w:r>
      <w:r>
        <w:rPr>
          <w:rFonts w:hint="eastAsia" w:ascii="黑体" w:eastAsia="黑体" w:cs="黑体"/>
          <w:b/>
          <w:bCs/>
          <w:sz w:val="32"/>
          <w:szCs w:val="32"/>
        </w:rPr>
        <w:t>月金山区建设工程施工招投标项目清单</w:t>
      </w: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p>
      <w:pPr>
        <w:snapToGrid w:val="0"/>
        <w:spacing w:line="240" w:lineRule="atLeast"/>
        <w:jc w:val="center"/>
        <w:rPr>
          <w:rFonts w:ascii="黑体" w:eastAsia="黑体"/>
          <w:b/>
          <w:bCs/>
          <w:sz w:val="32"/>
          <w:szCs w:val="32"/>
        </w:rPr>
      </w:pPr>
    </w:p>
    <w:tbl>
      <w:tblPr>
        <w:tblStyle w:val="3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129"/>
        <w:gridCol w:w="4275"/>
        <w:gridCol w:w="2027"/>
        <w:gridCol w:w="1242"/>
        <w:gridCol w:w="1239"/>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12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275"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27"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242"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239"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 xml:space="preserve">2102JS0170 </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上海金山工业区水务站</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ascii="仿宋_GB2312" w:hAnsi="仿宋_GB2312" w:eastAsia="仿宋_GB2312" w:cs="仿宋_GB2312"/>
              </w:rPr>
              <w:t>2020</w:t>
            </w:r>
            <w:r>
              <w:rPr>
                <w:rFonts w:hint="eastAsia" w:ascii="仿宋_GB2312" w:hAnsi="仿宋_GB2312" w:eastAsia="仿宋_GB2312" w:cs="仿宋_GB2312"/>
              </w:rPr>
              <w:t>年金山工业区村级河道整治工程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上海金岭建设有限公司</w:t>
            </w:r>
            <w:r>
              <w:rPr>
                <w:rFonts w:ascii="仿宋_GB2312" w:hAnsi="仿宋_GB2312" w:eastAsia="仿宋_GB2312" w:cs="仿宋_GB2312"/>
              </w:rPr>
              <w:t xml:space="preserve"> </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1746.8806</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2</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2102JS0168</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上海金山工业区管理委员会</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“四好农村路”金山工业区六红路提档升级工程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上海雄丰建设工程有限公司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988.0796</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3</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2102JS0164</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上海市金山区张堰镇人民政府</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“四好农村路”张堰镇秦望路提档升级工程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上海增源建设工程有限公司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396.6725</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4</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2102JS0156</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上海市金山区漕泾镇水务站</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金山区漕泾镇界河港等村级河道整治工程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上海泽润绿化建设有限公司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386.8091</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5</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2102JS0155</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上海市金山区张堰镇人民政府</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“四好农村路”张堰镇秦廊路提档升级工程</w:t>
            </w:r>
            <w:r>
              <w:rPr>
                <w:rFonts w:ascii="仿宋_GB2312" w:hAnsi="仿宋_GB2312" w:eastAsia="仿宋_GB2312" w:cs="仿宋_GB2312"/>
              </w:rPr>
              <w:t xml:space="preserve"> </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上海金山公路建设有限公司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803.011</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6</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2102JS0153</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上海市金山区金山卫镇人民政府</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“四好农村路”金山卫镇刘建路提档升级工程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上海万津水利工程有限公司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1455.286</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7</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2102JS0150</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上海市金山区张堰镇人民政府</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“四好农村路”张堰镇秦建路（秦阳路</w:t>
            </w:r>
            <w:r>
              <w:rPr>
                <w:rFonts w:ascii="仿宋_GB2312" w:hAnsi="仿宋_GB2312" w:eastAsia="仿宋_GB2312" w:cs="仿宋_GB2312"/>
              </w:rPr>
              <w:t>-</w:t>
            </w:r>
            <w:r>
              <w:rPr>
                <w:rFonts w:hint="eastAsia" w:ascii="仿宋_GB2312" w:hAnsi="仿宋_GB2312" w:eastAsia="仿宋_GB2312" w:cs="仿宋_GB2312"/>
              </w:rPr>
              <w:t>建农路）提档升级工程</w:t>
            </w:r>
            <w:r>
              <w:rPr>
                <w:rFonts w:ascii="仿宋_GB2312" w:hAnsi="仿宋_GB2312" w:eastAsia="仿宋_GB2312" w:cs="仿宋_GB2312"/>
              </w:rPr>
              <w:t xml:space="preserve"> </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金工建设集团股份有限公司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804.0193</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8</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2102JS0149</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上海市金山区张堰镇人民政府</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“四好农村路”张堰镇秦阳南路（漕廊公路</w:t>
            </w:r>
            <w:r>
              <w:rPr>
                <w:rFonts w:ascii="仿宋_GB2312" w:hAnsi="仿宋_GB2312" w:eastAsia="仿宋_GB2312" w:cs="仿宋_GB2312"/>
              </w:rPr>
              <w:t>-</w:t>
            </w:r>
            <w:r>
              <w:rPr>
                <w:rFonts w:hint="eastAsia" w:ascii="仿宋_GB2312" w:hAnsi="仿宋_GB2312" w:eastAsia="仿宋_GB2312" w:cs="仿宋_GB2312"/>
              </w:rPr>
              <w:t>镇界）提档升级工程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上海金岭建设有限公司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910.504</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9</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2102JS0138</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上海金建置业有限公司</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亭林新社区</w:t>
            </w:r>
            <w:r>
              <w:rPr>
                <w:rFonts w:ascii="仿宋_GB2312" w:hAnsi="仿宋_GB2312" w:eastAsia="仿宋_GB2312" w:cs="仿宋_GB2312"/>
              </w:rPr>
              <w:t>10-01</w:t>
            </w:r>
            <w:r>
              <w:rPr>
                <w:rFonts w:hint="eastAsia" w:ascii="仿宋_GB2312" w:hAnsi="仿宋_GB2312" w:eastAsia="仿宋_GB2312" w:cs="仿宋_GB2312"/>
              </w:rPr>
              <w:t>地块动迁安置房项目</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上海建工五建集团有限公司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46500.169</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104083.7</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10</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2102JS0119</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上海市金山区漕泾镇水务站</w:t>
            </w:r>
          </w:p>
        </w:tc>
        <w:tc>
          <w:tcPr>
            <w:tcW w:w="4275" w:type="dxa"/>
            <w:vAlign w:val="center"/>
          </w:tcPr>
          <w:p>
            <w:pPr>
              <w:jc w:val="center"/>
              <w:rPr>
                <w:rFonts w:ascii="仿宋_GB2312" w:hAnsi="仿宋_GB2312" w:eastAsia="仿宋_GB2312"/>
              </w:rPr>
            </w:pPr>
            <w:r>
              <w:rPr>
                <w:rFonts w:ascii="仿宋_GB2312" w:hAnsi="仿宋_GB2312" w:eastAsia="仿宋_GB2312" w:cs="仿宋_GB2312"/>
              </w:rPr>
              <w:t>2020</w:t>
            </w:r>
            <w:r>
              <w:rPr>
                <w:rFonts w:hint="eastAsia" w:ascii="仿宋_GB2312" w:hAnsi="仿宋_GB2312" w:eastAsia="仿宋_GB2312" w:cs="仿宋_GB2312"/>
              </w:rPr>
              <w:t>年漕泾镇村级河道整治工程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上海金岭建设有限公司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1142.3073</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11</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2102JS0116</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上海市金山区亭林镇人民政府</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“四好农村路”亭林镇驳岸路提档升级工程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上海朝华工程建设发展有限公司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926.5031</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12</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2102JS0109</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上海市金山区廊下镇勇敢村村民委员会</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廊下镇</w:t>
            </w:r>
            <w:r>
              <w:rPr>
                <w:rFonts w:ascii="仿宋_GB2312" w:hAnsi="仿宋_GB2312" w:eastAsia="仿宋_GB2312" w:cs="仿宋_GB2312"/>
              </w:rPr>
              <w:t>2019-2020</w:t>
            </w:r>
            <w:r>
              <w:rPr>
                <w:rFonts w:hint="eastAsia" w:ascii="仿宋_GB2312" w:hAnsi="仿宋_GB2312" w:eastAsia="仿宋_GB2312" w:cs="仿宋_GB2312"/>
              </w:rPr>
              <w:t>年农民平移集中居住点基础设施配套工程（二期）</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上海广发建设工程有限公司</w:t>
            </w:r>
            <w:r>
              <w:rPr>
                <w:rFonts w:ascii="仿宋_GB2312" w:hAnsi="仿宋_GB2312" w:eastAsia="仿宋_GB2312" w:cs="仿宋_GB2312"/>
              </w:rPr>
              <w:t xml:space="preserve"> </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1739.9888</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3018</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13</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2102JS0054</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上海市金山区交通委员会</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亭卫公路、朱漕路交叉口污水管道改造工程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上海盛秋市政工程有限公司</w:t>
            </w:r>
            <w:r>
              <w:rPr>
                <w:rFonts w:ascii="仿宋_GB2312" w:hAnsi="仿宋_GB2312" w:eastAsia="仿宋_GB2312" w:cs="仿宋_GB2312"/>
              </w:rPr>
              <w:t xml:space="preserve"> </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402.8319</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14</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2002JS0250</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C01</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上海市金卫中学</w:t>
            </w:r>
            <w:r>
              <w:rPr>
                <w:rFonts w:ascii="仿宋_GB2312" w:hAnsi="仿宋_GB2312" w:eastAsia="仿宋_GB2312" w:cs="仿宋_GB2312"/>
              </w:rPr>
              <w:t xml:space="preserve"> </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上海市金卫中学原校舍抗震加固工程</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上海梓达建设工程有限公司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5195.0906</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28" w:type="dxa"/>
            <w:vAlign w:val="center"/>
          </w:tcPr>
          <w:p>
            <w:pPr>
              <w:jc w:val="center"/>
              <w:rPr>
                <w:rFonts w:ascii="仿宋_GB2312" w:hAnsi="仿宋_GB2312" w:eastAsia="仿宋_GB2312"/>
              </w:rPr>
            </w:pPr>
            <w:r>
              <w:rPr>
                <w:rFonts w:ascii="仿宋_GB2312" w:hAnsi="仿宋_GB2312" w:eastAsia="仿宋_GB2312" w:cs="仿宋_GB2312"/>
              </w:rPr>
              <w:t>15</w:t>
            </w:r>
          </w:p>
        </w:tc>
        <w:tc>
          <w:tcPr>
            <w:tcW w:w="1305" w:type="dxa"/>
            <w:vAlign w:val="center"/>
          </w:tcPr>
          <w:p>
            <w:pPr>
              <w:jc w:val="center"/>
              <w:rPr>
                <w:rFonts w:ascii="仿宋_GB2312" w:hAnsi="仿宋_GB2312" w:eastAsia="仿宋_GB2312"/>
              </w:rPr>
            </w:pPr>
            <w:r>
              <w:rPr>
                <w:rFonts w:ascii="仿宋_GB2312" w:hAnsi="仿宋_GB2312" w:eastAsia="仿宋_GB2312" w:cs="仿宋_GB2312"/>
              </w:rPr>
              <w:t>1502JS0197</w:t>
            </w:r>
          </w:p>
        </w:tc>
        <w:tc>
          <w:tcPr>
            <w:tcW w:w="686" w:type="dxa"/>
            <w:vAlign w:val="center"/>
          </w:tcPr>
          <w:p>
            <w:pPr>
              <w:jc w:val="center"/>
              <w:rPr>
                <w:rFonts w:ascii="仿宋_GB2312" w:hAnsi="仿宋_GB2312" w:eastAsia="仿宋_GB2312"/>
              </w:rPr>
            </w:pPr>
            <w:r>
              <w:rPr>
                <w:rFonts w:ascii="仿宋_GB2312" w:hAnsi="仿宋_GB2312" w:eastAsia="仿宋_GB2312" w:cs="仿宋_GB2312"/>
              </w:rPr>
              <w:t>C03</w:t>
            </w:r>
          </w:p>
        </w:tc>
        <w:tc>
          <w:tcPr>
            <w:tcW w:w="2129" w:type="dxa"/>
            <w:vAlign w:val="center"/>
          </w:tcPr>
          <w:p>
            <w:pPr>
              <w:jc w:val="center"/>
              <w:rPr>
                <w:rFonts w:ascii="仿宋_GB2312" w:hAnsi="仿宋_GB2312" w:eastAsia="仿宋_GB2312"/>
              </w:rPr>
            </w:pPr>
            <w:r>
              <w:rPr>
                <w:rFonts w:hint="eastAsia" w:ascii="仿宋_GB2312" w:hAnsi="仿宋_GB2312" w:eastAsia="仿宋_GB2312" w:cs="仿宋_GB2312"/>
              </w:rPr>
              <w:t>上海金工物业管理有限公司</w:t>
            </w:r>
          </w:p>
        </w:tc>
        <w:tc>
          <w:tcPr>
            <w:tcW w:w="4275" w:type="dxa"/>
            <w:vAlign w:val="center"/>
          </w:tcPr>
          <w:p>
            <w:pPr>
              <w:jc w:val="center"/>
              <w:rPr>
                <w:rFonts w:ascii="仿宋_GB2312" w:hAnsi="仿宋_GB2312" w:eastAsia="仿宋_GB2312"/>
              </w:rPr>
            </w:pPr>
            <w:r>
              <w:rPr>
                <w:rFonts w:hint="eastAsia" w:ascii="仿宋_GB2312" w:hAnsi="仿宋_GB2312" w:eastAsia="仿宋_GB2312" w:cs="仿宋_GB2312"/>
              </w:rPr>
              <w:t>上海御府投资有限公司公共租赁房（单位租赁房</w:t>
            </w:r>
            <w:r>
              <w:rPr>
                <w:rFonts w:ascii="仿宋_GB2312" w:hAnsi="仿宋_GB2312" w:eastAsia="仿宋_GB2312" w:cs="仿宋_GB2312"/>
              </w:rPr>
              <w:t>-</w:t>
            </w:r>
            <w:r>
              <w:rPr>
                <w:rFonts w:hint="eastAsia" w:ascii="仿宋_GB2312" w:hAnsi="仿宋_GB2312" w:eastAsia="仿宋_GB2312" w:cs="仿宋_GB2312"/>
              </w:rPr>
              <w:t>来沪务工人员宿舍）（三标段）</w:t>
            </w:r>
          </w:p>
        </w:tc>
        <w:tc>
          <w:tcPr>
            <w:tcW w:w="2027" w:type="dxa"/>
            <w:vAlign w:val="center"/>
          </w:tcPr>
          <w:p>
            <w:pPr>
              <w:jc w:val="center"/>
              <w:rPr>
                <w:rFonts w:ascii="仿宋_GB2312" w:hAnsi="仿宋_GB2312" w:eastAsia="仿宋_GB2312"/>
              </w:rPr>
            </w:pPr>
            <w:r>
              <w:rPr>
                <w:rFonts w:hint="eastAsia" w:ascii="仿宋_GB2312" w:hAnsi="仿宋_GB2312" w:eastAsia="仿宋_GB2312" w:cs="仿宋_GB2312"/>
              </w:rPr>
              <w:t>上海信元建设工程有限公司</w:t>
            </w:r>
          </w:p>
        </w:tc>
        <w:tc>
          <w:tcPr>
            <w:tcW w:w="1242" w:type="dxa"/>
            <w:vAlign w:val="center"/>
          </w:tcPr>
          <w:p>
            <w:pPr>
              <w:jc w:val="center"/>
              <w:rPr>
                <w:rFonts w:ascii="仿宋_GB2312" w:hAnsi="仿宋_GB2312" w:eastAsia="仿宋_GB2312"/>
              </w:rPr>
            </w:pPr>
            <w:r>
              <w:rPr>
                <w:rFonts w:ascii="仿宋_GB2312" w:hAnsi="仿宋_GB2312" w:eastAsia="仿宋_GB2312" w:cs="仿宋_GB2312"/>
              </w:rPr>
              <w:t>4119.79</w:t>
            </w:r>
          </w:p>
        </w:tc>
        <w:tc>
          <w:tcPr>
            <w:tcW w:w="1239" w:type="dxa"/>
            <w:vAlign w:val="center"/>
          </w:tcPr>
          <w:p>
            <w:pPr>
              <w:jc w:val="center"/>
              <w:rPr>
                <w:rFonts w:ascii="仿宋_GB2312" w:hAnsi="仿宋_GB2312" w:eastAsia="仿宋_GB2312"/>
              </w:rPr>
            </w:pPr>
            <w:r>
              <w:rPr>
                <w:rFonts w:ascii="仿宋_GB2312" w:hAnsi="仿宋_GB2312" w:eastAsia="仿宋_GB2312" w:cs="仿宋_GB2312"/>
              </w:rPr>
              <w:t>0</w:t>
            </w:r>
          </w:p>
        </w:tc>
        <w:tc>
          <w:tcPr>
            <w:tcW w:w="743" w:type="dxa"/>
            <w:vAlign w:val="center"/>
          </w:tcPr>
          <w:p>
            <w:pPr>
              <w:jc w:val="center"/>
              <w:rPr>
                <w:rFonts w:ascii="仿宋_GB2312" w:hAnsi="仿宋_GB2312" w:eastAsia="仿宋_GB2312"/>
              </w:rPr>
            </w:pPr>
            <w:r>
              <w:rPr>
                <w:rFonts w:hint="eastAsia" w:ascii="仿宋_GB2312" w:hAnsi="仿宋_GB2312" w:eastAsia="仿宋_GB2312" w:cs="仿宋_GB2312"/>
              </w:rPr>
              <w:t>公开招标</w:t>
            </w:r>
            <w:r>
              <w:rPr>
                <w:rFonts w:ascii="仿宋_GB2312" w:hAnsi="仿宋_GB2312" w:eastAsia="仿宋_GB2312" w:cs="仿宋_GB2312"/>
              </w:rPr>
              <w:t xml:space="preserve"> </w:t>
            </w:r>
          </w:p>
        </w:tc>
      </w:tr>
    </w:tbl>
    <w:p>
      <w:pPr>
        <w:snapToGrid w:val="0"/>
        <w:spacing w:before="240" w:line="240" w:lineRule="atLeast"/>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ourier New">
    <w:panose1 w:val="02070309020205020404"/>
    <w:charset w:val="00"/>
    <w:family w:val="swiss"/>
    <w:pitch w:val="default"/>
    <w:sig w:usb0="00007A87" w:usb1="80000000" w:usb2="00000008" w:usb3="00000000" w:csb0="400001FF" w:csb1="FFFF0000"/>
  </w:font>
  <w:font w:name="Tahoma">
    <w:panose1 w:val="020B0604030504040204"/>
    <w:charset w:val="00"/>
    <w:family w:val="decorative"/>
    <w:pitch w:val="default"/>
    <w:sig w:usb0="61007A87" w:usb1="80000000" w:usb2="00000008" w:usb3="00000000" w:csb0="200101FF" w:csb1="20280000"/>
  </w:font>
  <w:font w:name="Verdana">
    <w:panose1 w:val="020B0604030504040204"/>
    <w:charset w:val="00"/>
    <w:family w:val="decorative"/>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7"/>
      </w:rPr>
      <w:fldChar w:fldCharType="begin"/>
    </w:r>
    <w:r>
      <w:rPr>
        <w:rStyle w:val="27"/>
      </w:rPr>
      <w:instrText xml:space="preserve"> PAGE </w:instrText>
    </w:r>
    <w:r>
      <w:rPr>
        <w:rStyle w:val="27"/>
      </w:rPr>
      <w:fldChar w:fldCharType="separate"/>
    </w:r>
    <w:r>
      <w:rPr>
        <w:rStyle w:val="27"/>
      </w:rPr>
      <w:t>13</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8AF"/>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240B1B44"/>
    <w:rsid w:val="24D67A68"/>
    <w:rsid w:val="287A7AF8"/>
    <w:rsid w:val="29082BE0"/>
    <w:rsid w:val="2F406F0F"/>
    <w:rsid w:val="3DAE0540"/>
    <w:rsid w:val="40100826"/>
    <w:rsid w:val="5B9104C7"/>
    <w:rsid w:val="5BD347B4"/>
    <w:rsid w:val="5CF266B4"/>
    <w:rsid w:val="5FFF0CF4"/>
    <w:rsid w:val="67604DC2"/>
    <w:rsid w:val="71B46619"/>
    <w:rsid w:val="72A5479F"/>
    <w:rsid w:val="75A44310"/>
    <w:rsid w:val="7C330DA6"/>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name="toc 1"/>
    <w:lsdException w:qFormat="1" w:unhideWhenUsed="0" w:uiPriority="99" w:name="toc 2"/>
    <w:lsdException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5">
    <w:name w:val="Default Paragraph Font"/>
    <w:semiHidden/>
    <w:qFormat/>
    <w:uiPriority w:val="99"/>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qFormat/>
    <w:uiPriority w:val="99"/>
    <w:pPr>
      <w:ind w:firstLine="420" w:firstLineChars="200"/>
    </w:pPr>
  </w:style>
  <w:style w:type="paragraph" w:styleId="12">
    <w:name w:val="Document Map"/>
    <w:basedOn w:val="1"/>
    <w:link w:val="41"/>
    <w:semiHidden/>
    <w:uiPriority w:val="99"/>
    <w:pPr>
      <w:shd w:val="clear" w:color="auto" w:fill="000080"/>
    </w:pPr>
  </w:style>
  <w:style w:type="paragraph" w:styleId="13">
    <w:name w:val="Body Text"/>
    <w:basedOn w:val="1"/>
    <w:link w:val="42"/>
    <w:qFormat/>
    <w:uiPriority w:val="99"/>
    <w:pPr>
      <w:spacing w:after="120"/>
    </w:pPr>
  </w:style>
  <w:style w:type="paragraph" w:styleId="14">
    <w:name w:val="Body Text Indent"/>
    <w:basedOn w:val="1"/>
    <w:link w:val="43"/>
    <w:uiPriority w:val="99"/>
    <w:pPr>
      <w:ind w:firstLine="570"/>
    </w:pPr>
    <w:rPr>
      <w:rFonts w:ascii="Calibri" w:hAnsi="Calibri" w:cs="Calibri"/>
      <w:sz w:val="28"/>
      <w:szCs w:val="28"/>
    </w:rPr>
  </w:style>
  <w:style w:type="paragraph" w:styleId="15">
    <w:name w:val="toc 3"/>
    <w:basedOn w:val="1"/>
    <w:next w:val="1"/>
    <w:semiHidden/>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qFormat/>
    <w:uiPriority w:val="99"/>
    <w:rPr>
      <w:rFonts w:ascii="宋体" w:hAnsi="Courier New" w:cs="宋体"/>
    </w:rPr>
  </w:style>
  <w:style w:type="paragraph" w:styleId="17">
    <w:name w:val="Date"/>
    <w:basedOn w:val="1"/>
    <w:next w:val="1"/>
    <w:link w:val="45"/>
    <w:qFormat/>
    <w:uiPriority w:val="99"/>
    <w:pPr>
      <w:ind w:left="100" w:leftChars="2500"/>
    </w:pPr>
    <w:rPr>
      <w:rFonts w:ascii="Calibri" w:hAnsi="Calibri" w:cs="Calibri"/>
    </w:rPr>
  </w:style>
  <w:style w:type="paragraph" w:styleId="18">
    <w:name w:val="Balloon Text"/>
    <w:basedOn w:val="1"/>
    <w:link w:val="46"/>
    <w:semiHidden/>
    <w:qFormat/>
    <w:uiPriority w:val="99"/>
    <w:rPr>
      <w:rFonts w:ascii="Calibri" w:hAnsi="Calibri" w:cs="Calibri"/>
      <w:sz w:val="18"/>
      <w:szCs w:val="18"/>
    </w:rPr>
  </w:style>
  <w:style w:type="paragraph" w:styleId="19">
    <w:name w:val="footer"/>
    <w:basedOn w:val="1"/>
    <w:link w:val="47"/>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semiHidden/>
    <w:uiPriority w:val="99"/>
    <w:pPr>
      <w:widowControl/>
      <w:spacing w:after="100" w:line="276" w:lineRule="auto"/>
      <w:jc w:val="left"/>
    </w:pPr>
    <w:rPr>
      <w:rFonts w:ascii="Calibri" w:hAnsi="Calibri" w:cs="Calibri"/>
      <w:kern w:val="0"/>
      <w:sz w:val="22"/>
      <w:szCs w:val="22"/>
    </w:rPr>
  </w:style>
  <w:style w:type="paragraph" w:styleId="22">
    <w:name w:val="toc 2"/>
    <w:basedOn w:val="1"/>
    <w:next w:val="1"/>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6">
    <w:name w:val="Strong"/>
    <w:basedOn w:val="25"/>
    <w:qFormat/>
    <w:uiPriority w:val="99"/>
    <w:rPr>
      <w:b/>
      <w:bCs/>
    </w:rPr>
  </w:style>
  <w:style w:type="character" w:styleId="27">
    <w:name w:val="page number"/>
    <w:basedOn w:val="25"/>
    <w:qFormat/>
    <w:uiPriority w:val="99"/>
  </w:style>
  <w:style w:type="character" w:styleId="28">
    <w:name w:val="Emphasis"/>
    <w:basedOn w:val="25"/>
    <w:qFormat/>
    <w:uiPriority w:val="99"/>
    <w:rPr>
      <w:i/>
      <w:iCs/>
    </w:rPr>
  </w:style>
  <w:style w:type="character" w:styleId="29">
    <w:name w:val="Hyperlink"/>
    <w:basedOn w:val="25"/>
    <w:qFormat/>
    <w:uiPriority w:val="99"/>
    <w:rPr>
      <w:color w:val="auto"/>
      <w:u w:val="none"/>
    </w:rPr>
  </w:style>
  <w:style w:type="table" w:styleId="31">
    <w:name w:val="Table Grid"/>
    <w:basedOn w:val="3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2">
    <w:name w:val="Heading 1 Char"/>
    <w:basedOn w:val="25"/>
    <w:link w:val="2"/>
    <w:qFormat/>
    <w:locked/>
    <w:uiPriority w:val="99"/>
    <w:rPr>
      <w:rFonts w:eastAsia="黑体"/>
      <w:b/>
      <w:bCs/>
      <w:kern w:val="44"/>
      <w:sz w:val="44"/>
      <w:szCs w:val="44"/>
    </w:rPr>
  </w:style>
  <w:style w:type="character" w:customStyle="1" w:styleId="33">
    <w:name w:val="Heading 2 Char"/>
    <w:basedOn w:val="25"/>
    <w:link w:val="3"/>
    <w:qFormat/>
    <w:locked/>
    <w:uiPriority w:val="99"/>
    <w:rPr>
      <w:rFonts w:ascii="Arial" w:hAnsi="Arial" w:eastAsia="黑体" w:cs="Arial"/>
      <w:b/>
      <w:bCs/>
      <w:kern w:val="2"/>
      <w:sz w:val="32"/>
      <w:szCs w:val="32"/>
      <w:lang w:val="en-US" w:eastAsia="zh-CN"/>
    </w:rPr>
  </w:style>
  <w:style w:type="character" w:customStyle="1" w:styleId="34">
    <w:name w:val="Heading 3 Char"/>
    <w:basedOn w:val="25"/>
    <w:link w:val="4"/>
    <w:qFormat/>
    <w:locked/>
    <w:uiPriority w:val="99"/>
    <w:rPr>
      <w:rFonts w:ascii="宋体" w:hAnsi="宋体" w:eastAsia="黑体" w:cs="宋体"/>
      <w:b/>
      <w:bCs/>
      <w:sz w:val="27"/>
      <w:szCs w:val="27"/>
    </w:rPr>
  </w:style>
  <w:style w:type="character" w:customStyle="1" w:styleId="35">
    <w:name w:val="Heading 4 Char"/>
    <w:basedOn w:val="25"/>
    <w:link w:val="5"/>
    <w:qFormat/>
    <w:locked/>
    <w:uiPriority w:val="99"/>
    <w:rPr>
      <w:rFonts w:ascii="Arial" w:hAnsi="Arial" w:eastAsia="黑体" w:cs="Arial"/>
      <w:sz w:val="32"/>
      <w:szCs w:val="32"/>
    </w:rPr>
  </w:style>
  <w:style w:type="character" w:customStyle="1" w:styleId="36">
    <w:name w:val="Heading 5 Char"/>
    <w:basedOn w:val="25"/>
    <w:link w:val="6"/>
    <w:locked/>
    <w:uiPriority w:val="99"/>
    <w:rPr>
      <w:rFonts w:eastAsia="楷体_GB2312"/>
      <w:b/>
      <w:bCs/>
      <w:sz w:val="30"/>
      <w:szCs w:val="30"/>
    </w:rPr>
  </w:style>
  <w:style w:type="character" w:customStyle="1" w:styleId="37">
    <w:name w:val="Heading 6 Char"/>
    <w:basedOn w:val="25"/>
    <w:link w:val="7"/>
    <w:locked/>
    <w:uiPriority w:val="99"/>
    <w:rPr>
      <w:rFonts w:hAnsi="Arial" w:eastAsia="仿宋_GB2312"/>
      <w:sz w:val="30"/>
      <w:szCs w:val="30"/>
    </w:rPr>
  </w:style>
  <w:style w:type="character" w:customStyle="1" w:styleId="38">
    <w:name w:val="Heading 7 Char"/>
    <w:basedOn w:val="25"/>
    <w:link w:val="9"/>
    <w:locked/>
    <w:uiPriority w:val="99"/>
    <w:rPr>
      <w:rFonts w:eastAsia="仿宋_GB2312"/>
      <w:sz w:val="30"/>
      <w:szCs w:val="30"/>
    </w:rPr>
  </w:style>
  <w:style w:type="character" w:customStyle="1" w:styleId="39">
    <w:name w:val="Heading 8 Char"/>
    <w:basedOn w:val="25"/>
    <w:link w:val="10"/>
    <w:qFormat/>
    <w:locked/>
    <w:uiPriority w:val="99"/>
    <w:rPr>
      <w:rFonts w:hAnsi="Arial" w:eastAsia="仿宋_GB2312"/>
      <w:sz w:val="30"/>
      <w:szCs w:val="30"/>
    </w:rPr>
  </w:style>
  <w:style w:type="character" w:customStyle="1" w:styleId="40">
    <w:name w:val="Heading 9 Char"/>
    <w:basedOn w:val="25"/>
    <w:link w:val="11"/>
    <w:locked/>
    <w:uiPriority w:val="99"/>
    <w:rPr>
      <w:rFonts w:eastAsia="仿宋_GB2312"/>
      <w:sz w:val="30"/>
      <w:szCs w:val="30"/>
    </w:rPr>
  </w:style>
  <w:style w:type="character" w:customStyle="1" w:styleId="41">
    <w:name w:val="Document Map Char"/>
    <w:basedOn w:val="25"/>
    <w:link w:val="12"/>
    <w:semiHidden/>
    <w:qFormat/>
    <w:locked/>
    <w:uiPriority w:val="99"/>
    <w:rPr>
      <w:rFonts w:ascii="Times New Roman" w:hAnsi="Times New Roman" w:cs="Times New Roman"/>
      <w:kern w:val="2"/>
      <w:sz w:val="21"/>
      <w:szCs w:val="21"/>
      <w:shd w:val="clear" w:color="auto" w:fill="000080"/>
    </w:rPr>
  </w:style>
  <w:style w:type="character" w:customStyle="1" w:styleId="42">
    <w:name w:val="Body Text Char"/>
    <w:basedOn w:val="25"/>
    <w:link w:val="13"/>
    <w:qFormat/>
    <w:locked/>
    <w:uiPriority w:val="99"/>
    <w:rPr>
      <w:kern w:val="2"/>
      <w:sz w:val="21"/>
      <w:szCs w:val="21"/>
    </w:rPr>
  </w:style>
  <w:style w:type="character" w:customStyle="1" w:styleId="43">
    <w:name w:val="Body Text Indent Char"/>
    <w:basedOn w:val="25"/>
    <w:link w:val="14"/>
    <w:locked/>
    <w:uiPriority w:val="99"/>
    <w:rPr>
      <w:kern w:val="2"/>
      <w:sz w:val="28"/>
      <w:szCs w:val="28"/>
    </w:rPr>
  </w:style>
  <w:style w:type="character" w:customStyle="1" w:styleId="44">
    <w:name w:val="Plain Text Char"/>
    <w:basedOn w:val="25"/>
    <w:link w:val="16"/>
    <w:locked/>
    <w:uiPriority w:val="99"/>
    <w:rPr>
      <w:rFonts w:ascii="宋体" w:hAnsi="Courier New" w:eastAsia="宋体" w:cs="宋体"/>
      <w:kern w:val="2"/>
      <w:sz w:val="21"/>
      <w:szCs w:val="21"/>
      <w:lang w:val="en-US" w:eastAsia="zh-CN"/>
    </w:rPr>
  </w:style>
  <w:style w:type="character" w:customStyle="1" w:styleId="45">
    <w:name w:val="Date Char"/>
    <w:basedOn w:val="25"/>
    <w:link w:val="17"/>
    <w:qFormat/>
    <w:locked/>
    <w:uiPriority w:val="99"/>
    <w:rPr>
      <w:kern w:val="2"/>
      <w:sz w:val="21"/>
      <w:szCs w:val="21"/>
    </w:rPr>
  </w:style>
  <w:style w:type="character" w:customStyle="1" w:styleId="46">
    <w:name w:val="Balloon Text Char"/>
    <w:basedOn w:val="25"/>
    <w:link w:val="18"/>
    <w:qFormat/>
    <w:locked/>
    <w:uiPriority w:val="99"/>
    <w:rPr>
      <w:kern w:val="2"/>
      <w:sz w:val="18"/>
      <w:szCs w:val="18"/>
    </w:rPr>
  </w:style>
  <w:style w:type="character" w:customStyle="1" w:styleId="47">
    <w:name w:val="Footer Char"/>
    <w:basedOn w:val="25"/>
    <w:link w:val="19"/>
    <w:qFormat/>
    <w:locked/>
    <w:uiPriority w:val="99"/>
    <w:rPr>
      <w:kern w:val="2"/>
      <w:sz w:val="18"/>
      <w:szCs w:val="18"/>
    </w:rPr>
  </w:style>
  <w:style w:type="character" w:customStyle="1" w:styleId="48">
    <w:name w:val="Header Char"/>
    <w:basedOn w:val="25"/>
    <w:link w:val="20"/>
    <w:locked/>
    <w:uiPriority w:val="99"/>
    <w:rPr>
      <w:kern w:val="2"/>
      <w:sz w:val="18"/>
      <w:szCs w:val="18"/>
    </w:rPr>
  </w:style>
  <w:style w:type="character" w:customStyle="1" w:styleId="49">
    <w:name w:val="HTML Preformatted Char"/>
    <w:basedOn w:val="25"/>
    <w:link w:val="23"/>
    <w:qFormat/>
    <w:locked/>
    <w:uiPriority w:val="99"/>
    <w:rPr>
      <w:rFonts w:ascii="Arial" w:hAnsi="Arial" w:cs="Arial"/>
      <w:sz w:val="24"/>
      <w:szCs w:val="24"/>
    </w:rPr>
  </w:style>
  <w:style w:type="paragraph" w:customStyle="1" w:styleId="50">
    <w:name w:val="p0"/>
    <w:basedOn w:val="1"/>
    <w:qFormat/>
    <w:uiPriority w:val="99"/>
    <w:pPr>
      <w:widowControl/>
    </w:pPr>
    <w:rPr>
      <w:kern w:val="0"/>
    </w:rPr>
  </w:style>
  <w:style w:type="character" w:customStyle="1" w:styleId="51">
    <w:name w:val="hei141"/>
    <w:basedOn w:val="25"/>
    <w:uiPriority w:val="99"/>
    <w:rPr>
      <w:rFonts w:ascii="宋体" w:hAnsi="宋体" w:eastAsia="宋体" w:cs="宋体"/>
      <w:color w:val="000000"/>
      <w:sz w:val="21"/>
      <w:szCs w:val="21"/>
      <w:u w:val="none"/>
    </w:rPr>
  </w:style>
  <w:style w:type="character" w:customStyle="1" w:styleId="52">
    <w:name w:val="gsjj1"/>
    <w:qFormat/>
    <w:uiPriority w:val="99"/>
    <w:rPr>
      <w:sz w:val="21"/>
      <w:szCs w:val="21"/>
    </w:rPr>
  </w:style>
  <w:style w:type="character" w:customStyle="1" w:styleId="53">
    <w:name w:val="apple-style-span"/>
    <w:basedOn w:val="25"/>
    <w:qFormat/>
    <w:uiPriority w:val="99"/>
  </w:style>
  <w:style w:type="paragraph" w:customStyle="1" w:styleId="54">
    <w:name w:val="默认段落字体 Para Char Char Char Char Char Char Char"/>
    <w:basedOn w:val="1"/>
    <w:uiPriority w:val="99"/>
    <w:pPr>
      <w:spacing w:line="360" w:lineRule="auto"/>
    </w:pPr>
    <w:rPr>
      <w:sz w:val="24"/>
      <w:szCs w:val="24"/>
    </w:rPr>
  </w:style>
  <w:style w:type="character" w:customStyle="1" w:styleId="55">
    <w:name w:val="acool1"/>
    <w:basedOn w:val="25"/>
    <w:qFormat/>
    <w:uiPriority w:val="99"/>
    <w:rPr>
      <w:b/>
      <w:bCs/>
      <w:color w:val="auto"/>
      <w:sz w:val="40"/>
      <w:szCs w:val="40"/>
    </w:rPr>
  </w:style>
  <w:style w:type="character" w:customStyle="1" w:styleId="56">
    <w:name w:val="competitioncontent1"/>
    <w:basedOn w:val="25"/>
    <w:qFormat/>
    <w:uiPriority w:val="99"/>
    <w:rPr>
      <w:sz w:val="18"/>
      <w:szCs w:val="18"/>
    </w:rPr>
  </w:style>
  <w:style w:type="paragraph" w:customStyle="1" w:styleId="57">
    <w:name w:val="Char2"/>
    <w:basedOn w:val="1"/>
    <w:qFormat/>
    <w:uiPriority w:val="99"/>
    <w:rPr>
      <w:rFonts w:ascii="宋体" w:hAnsi="宋体" w:cs="宋体"/>
      <w:sz w:val="32"/>
      <w:szCs w:val="32"/>
    </w:rPr>
  </w:style>
  <w:style w:type="character" w:customStyle="1" w:styleId="58">
    <w:name w:val="content4"/>
    <w:basedOn w:val="25"/>
    <w:qFormat/>
    <w:uiPriority w:val="99"/>
  </w:style>
  <w:style w:type="paragraph" w:customStyle="1" w:styleId="59">
    <w:name w:val="aa"/>
    <w:basedOn w:val="1"/>
    <w:uiPriority w:val="99"/>
    <w:pPr>
      <w:widowControl/>
      <w:jc w:val="left"/>
    </w:pPr>
    <w:rPr>
      <w:rFonts w:ascii="宋体" w:hAnsi="宋体" w:cs="宋体"/>
      <w:kern w:val="0"/>
      <w:sz w:val="24"/>
      <w:szCs w:val="24"/>
    </w:rPr>
  </w:style>
  <w:style w:type="paragraph" w:customStyle="1" w:styleId="60">
    <w:name w:val="bb"/>
    <w:basedOn w:val="1"/>
    <w:qFormat/>
    <w:uiPriority w:val="99"/>
    <w:pPr>
      <w:widowControl/>
      <w:jc w:val="left"/>
    </w:pPr>
    <w:rPr>
      <w:rFonts w:ascii="宋体" w:hAnsi="宋体" w:cs="宋体"/>
      <w:kern w:val="0"/>
      <w:sz w:val="24"/>
      <w:szCs w:val="24"/>
    </w:rPr>
  </w:style>
  <w:style w:type="paragraph" w:customStyle="1" w:styleId="61">
    <w:name w:val="Char"/>
    <w:basedOn w:val="1"/>
    <w:uiPriority w:val="99"/>
    <w:rPr>
      <w:rFonts w:ascii="Tahoma" w:hAnsi="Tahoma" w:cs="Tahoma"/>
      <w:sz w:val="24"/>
      <w:szCs w:val="24"/>
    </w:rPr>
  </w:style>
  <w:style w:type="character" w:customStyle="1" w:styleId="62">
    <w:name w:val="style61"/>
    <w:basedOn w:val="25"/>
    <w:qFormat/>
    <w:uiPriority w:val="99"/>
    <w:rPr>
      <w:b/>
      <w:bCs/>
      <w:sz w:val="27"/>
      <w:szCs w:val="27"/>
    </w:rPr>
  </w:style>
  <w:style w:type="paragraph" w:customStyle="1" w:styleId="63">
    <w:name w:val="Char21"/>
    <w:basedOn w:val="1"/>
    <w:qFormat/>
    <w:uiPriority w:val="99"/>
    <w:rPr>
      <w:rFonts w:ascii="Tahoma" w:hAnsi="Tahoma" w:cs="Tahoma"/>
      <w:sz w:val="24"/>
      <w:szCs w:val="24"/>
    </w:rPr>
  </w:style>
  <w:style w:type="paragraph" w:customStyle="1" w:styleId="64">
    <w:name w:val="Char1"/>
    <w:basedOn w:val="1"/>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basedOn w:val="25"/>
    <w:uiPriority w:val="99"/>
    <w:rPr>
      <w:sz w:val="21"/>
      <w:szCs w:val="21"/>
    </w:rPr>
  </w:style>
  <w:style w:type="character" w:customStyle="1" w:styleId="66">
    <w:name w:val="line-h301"/>
    <w:basedOn w:val="25"/>
    <w:uiPriority w:val="99"/>
  </w:style>
  <w:style w:type="paragraph" w:customStyle="1" w:styleId="67">
    <w:name w:val="Char11"/>
    <w:basedOn w:val="1"/>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uiPriority w:val="99"/>
    <w:rPr>
      <w:rFonts w:ascii="宋体" w:hAnsi="宋体" w:cs="宋体"/>
      <w:sz w:val="32"/>
      <w:szCs w:val="32"/>
    </w:rPr>
  </w:style>
  <w:style w:type="character" w:customStyle="1" w:styleId="69">
    <w:name w:val="normal1051"/>
    <w:basedOn w:val="25"/>
    <w:uiPriority w:val="99"/>
  </w:style>
  <w:style w:type="paragraph" w:customStyle="1" w:styleId="70">
    <w:name w:val="Char4"/>
    <w:basedOn w:val="1"/>
    <w:uiPriority w:val="99"/>
    <w:pPr>
      <w:tabs>
        <w:tab w:val="left" w:pos="360"/>
      </w:tabs>
    </w:pPr>
    <w:rPr>
      <w:sz w:val="24"/>
      <w:szCs w:val="24"/>
    </w:rPr>
  </w:style>
  <w:style w:type="paragraph" w:customStyle="1" w:styleId="71">
    <w:name w:val="协会正文"/>
    <w:basedOn w:val="1"/>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5"/>
    <w:uiPriority w:val="99"/>
  </w:style>
  <w:style w:type="paragraph" w:customStyle="1" w:styleId="73">
    <w:name w:val="Char3"/>
    <w:basedOn w:val="1"/>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uiPriority w:val="99"/>
    <w:pPr>
      <w:spacing w:line="460" w:lineRule="exact"/>
      <w:ind w:firstLine="600" w:firstLineChars="200"/>
    </w:pPr>
    <w:rPr>
      <w:rFonts w:ascii="Times New Roman" w:hAnsi="Times New Roman" w:eastAsia="宋体" w:cs="Times New Roman"/>
      <w:kern w:val="0"/>
      <w:sz w:val="30"/>
      <w:szCs w:val="30"/>
      <w:lang w:val="en-US" w:eastAsia="zh-CN" w:bidi="ar-SA"/>
    </w:rPr>
  </w:style>
  <w:style w:type="paragraph" w:customStyle="1" w:styleId="75">
    <w:name w:val="Char Char Char Char1"/>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qFormat/>
    <w:uiPriority w:val="99"/>
    <w:pPr>
      <w:widowControl w:val="0"/>
      <w:autoSpaceDE w:val="0"/>
      <w:autoSpaceDN w:val="0"/>
      <w:adjustRightInd w:val="0"/>
    </w:pPr>
    <w:rPr>
      <w:rFonts w:ascii="华文中宋" w:hAnsi="Calibri" w:eastAsia="华文中宋" w:cs="华文中宋"/>
      <w:color w:val="000000"/>
      <w:kern w:val="0"/>
      <w:sz w:val="24"/>
      <w:szCs w:val="24"/>
      <w:lang w:val="en-US" w:eastAsia="zh-CN" w:bidi="ar-SA"/>
    </w:rPr>
  </w:style>
  <w:style w:type="paragraph" w:customStyle="1" w:styleId="77">
    <w:name w:val="列出段落1"/>
    <w:basedOn w:val="1"/>
    <w:qFormat/>
    <w:uiPriority w:val="99"/>
    <w:pPr>
      <w:ind w:firstLine="420" w:firstLineChars="200"/>
    </w:pPr>
  </w:style>
  <w:style w:type="paragraph" w:customStyle="1" w:styleId="78">
    <w:name w:val="列出段落11"/>
    <w:basedOn w:val="1"/>
    <w:qFormat/>
    <w:uiPriority w:val="99"/>
    <w:pPr>
      <w:ind w:firstLine="420" w:firstLineChars="200"/>
    </w:pPr>
    <w:rPr>
      <w:rFonts w:ascii="Calibri" w:hAnsi="Calibri" w:cs="Calibri"/>
    </w:rPr>
  </w:style>
  <w:style w:type="character" w:customStyle="1" w:styleId="79">
    <w:name w:val="bb1"/>
    <w:qFormat/>
    <w:uiPriority w:val="99"/>
    <w:rPr>
      <w:rFonts w:ascii="宋体" w:hAnsi="宋体" w:eastAsia="宋体" w:cs="宋体"/>
      <w:b/>
      <w:bCs/>
      <w:color w:val="auto"/>
      <w:sz w:val="21"/>
      <w:szCs w:val="21"/>
    </w:rPr>
  </w:style>
  <w:style w:type="paragraph" w:customStyle="1" w:styleId="80">
    <w:name w:val="列出段落2"/>
    <w:basedOn w:val="1"/>
    <w:qFormat/>
    <w:uiPriority w:val="99"/>
    <w:pPr>
      <w:ind w:firstLine="420" w:firstLineChars="200"/>
    </w:pPr>
  </w:style>
  <w:style w:type="table" w:customStyle="1" w:styleId="81">
    <w:name w:val="Table Normal1"/>
    <w:qFormat/>
    <w:uiPriority w:val="99"/>
    <w:pPr>
      <w:widowControl w:val="0"/>
    </w:pPr>
    <w:rPr>
      <w:kern w:val="0"/>
      <w:sz w:val="22"/>
      <w:lang w:eastAsia="en-US"/>
    </w:rPr>
    <w:tblPr>
      <w:tblLayout w:type="fixed"/>
      <w:tblCellMar>
        <w:top w:w="0" w:type="dxa"/>
        <w:left w:w="0" w:type="dxa"/>
        <w:bottom w:w="0" w:type="dxa"/>
        <w:right w:w="0" w:type="dxa"/>
      </w:tblCellMar>
    </w:tblPr>
  </w:style>
  <w:style w:type="paragraph" w:customStyle="1" w:styleId="82">
    <w:name w:val="标题 11"/>
    <w:basedOn w:val="1"/>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qFormat/>
    <w:uiPriority w:val="99"/>
    <w:pPr>
      <w:jc w:val="left"/>
    </w:pPr>
    <w:rPr>
      <w:rFonts w:ascii="Calibri" w:hAnsi="Calibri" w:cs="Calibri"/>
      <w:kern w:val="0"/>
      <w:sz w:val="22"/>
      <w:szCs w:val="22"/>
      <w:lang w:eastAsia="en-US"/>
    </w:rPr>
  </w:style>
  <w:style w:type="paragraph" w:customStyle="1" w:styleId="84">
    <w:name w:val="List Paragraph1"/>
    <w:basedOn w:val="1"/>
    <w:qFormat/>
    <w:uiPriority w:val="99"/>
    <w:pPr>
      <w:ind w:firstLine="420" w:firstLineChars="200"/>
    </w:pPr>
  </w:style>
  <w:style w:type="paragraph" w:customStyle="1" w:styleId="85">
    <w:name w:val="Char Char Char Char2"/>
    <w:basedOn w:val="1"/>
    <w:next w:val="1"/>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14</Pages>
  <Words>1537</Words>
  <Characters>8762</Characters>
  <Lines>0</Lines>
  <Paragraphs>0</Paragraphs>
  <TotalTime>0</TotalTime>
  <ScaleCrop>false</ScaleCrop>
  <LinksUpToDate>false</LinksUpToDate>
  <CharactersWithSpaces>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user</dc:creator>
  <cp:lastModifiedBy>Administrator</cp:lastModifiedBy>
  <cp:lastPrinted>2019-10-08T01:40:00Z</cp:lastPrinted>
  <dcterms:modified xsi:type="dcterms:W3CDTF">2021-11-03T02:15:43Z</dcterms:modified>
  <dc:title>金山建协简讯</dc:title>
  <cp:revision>1163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