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336B" w:rsidRDefault="0046336B">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46336B" w:rsidRDefault="0046336B">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2021</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第四期</w:t>
      </w:r>
    </w:p>
    <w:p w:rsidR="0046336B" w:rsidRDefault="0046336B">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187</w:t>
      </w:r>
      <w:r>
        <w:rPr>
          <w:rFonts w:ascii="仿宋_GB2312" w:eastAsia="仿宋_GB2312" w:hAnsi="宋体" w:cs="仿宋_GB2312" w:hint="eastAsia"/>
          <w:color w:val="000000"/>
          <w:sz w:val="28"/>
          <w:szCs w:val="28"/>
        </w:rPr>
        <w:t>期</w:t>
      </w:r>
    </w:p>
    <w:p w:rsidR="0046336B" w:rsidRDefault="0046336B">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style="mso-next-textbox:#Text Box 3">
              <w:txbxContent>
                <w:p w:rsidR="0046336B" w:rsidRDefault="0046336B">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一</w:t>
      </w:r>
      <w:r>
        <w:rPr>
          <w:rFonts w:ascii="仿宋_GB2312" w:eastAsia="仿宋_GB2312" w:hAnsi="宋体" w:cs="仿宋_GB2312" w:hint="eastAsia"/>
          <w:color w:val="000000"/>
          <w:sz w:val="28"/>
          <w:szCs w:val="28"/>
        </w:rPr>
        <w:t>年五月十日</w:t>
      </w:r>
    </w:p>
    <w:p w:rsidR="0046336B" w:rsidRDefault="0046336B">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46336B" w:rsidRDefault="0046336B" w:rsidP="00FE3792">
      <w:pPr>
        <w:pStyle w:val="Heading3"/>
        <w:spacing w:line="520" w:lineRule="exact"/>
        <w:rPr>
          <w:rFonts w:cs="Times New Roman"/>
        </w:rPr>
      </w:pPr>
      <w:r>
        <w:rPr>
          <w:rFonts w:cs="黑体" w:hint="eastAsia"/>
        </w:rPr>
        <w:t>【法律法规】</w:t>
      </w:r>
    </w:p>
    <w:p w:rsidR="0046336B" w:rsidRDefault="0046336B" w:rsidP="00FE3792">
      <w:pPr>
        <w:pStyle w:val="Heading3"/>
        <w:snapToGrid w:val="0"/>
        <w:spacing w:line="240" w:lineRule="atLeast"/>
        <w:jc w:val="center"/>
        <w:rPr>
          <w:rFonts w:ascii="黑体" w:hAnsi="Times New Roman" w:cs="Times New Roman"/>
          <w:color w:val="000000"/>
          <w:kern w:val="2"/>
        </w:rPr>
      </w:pPr>
    </w:p>
    <w:p w:rsidR="0046336B" w:rsidRDefault="0046336B" w:rsidP="00C47434">
      <w:pPr>
        <w:pStyle w:val="Heading3"/>
        <w:snapToGrid w:val="0"/>
        <w:spacing w:line="520" w:lineRule="exact"/>
        <w:jc w:val="center"/>
        <w:rPr>
          <w:rFonts w:ascii="黑体" w:hAnsi="Times New Roman" w:cs="Times New Roman"/>
          <w:color w:val="000000"/>
          <w:kern w:val="2"/>
        </w:rPr>
      </w:pPr>
      <w:r w:rsidRPr="00C47434">
        <w:rPr>
          <w:rFonts w:ascii="黑体" w:hAnsi="Times New Roman" w:cs="黑体"/>
          <w:color w:val="000000"/>
          <w:kern w:val="2"/>
        </w:rPr>
        <w:t>[</w:t>
      </w:r>
      <w:r w:rsidRPr="00C47434">
        <w:rPr>
          <w:rFonts w:ascii="黑体" w:hAnsi="Times New Roman" w:cs="黑体" w:hint="eastAsia"/>
          <w:color w:val="000000"/>
          <w:kern w:val="2"/>
        </w:rPr>
        <w:t>发改委</w:t>
      </w:r>
      <w:r w:rsidRPr="00C47434">
        <w:rPr>
          <w:rFonts w:ascii="黑体" w:hAnsi="Times New Roman" w:cs="黑体"/>
          <w:color w:val="000000"/>
          <w:kern w:val="2"/>
        </w:rPr>
        <w:t>]</w:t>
      </w:r>
      <w:r w:rsidRPr="00C47434">
        <w:rPr>
          <w:rFonts w:ascii="黑体" w:hAnsi="Times New Roman" w:cs="黑体" w:hint="eastAsia"/>
          <w:color w:val="000000"/>
          <w:kern w:val="2"/>
        </w:rPr>
        <w:t>关于印发《</w:t>
      </w:r>
      <w:r w:rsidRPr="00C47434">
        <w:rPr>
          <w:rFonts w:ascii="黑体" w:hAnsi="Times New Roman" w:cs="黑体"/>
          <w:color w:val="000000"/>
          <w:kern w:val="2"/>
        </w:rPr>
        <w:t>2021</w:t>
      </w:r>
      <w:r w:rsidRPr="00C47434">
        <w:rPr>
          <w:rFonts w:ascii="黑体" w:hAnsi="Times New Roman" w:cs="黑体" w:hint="eastAsia"/>
          <w:color w:val="000000"/>
          <w:kern w:val="2"/>
        </w:rPr>
        <w:t>年新型城镇化和</w:t>
      </w:r>
    </w:p>
    <w:p w:rsidR="0046336B" w:rsidRPr="00C47434" w:rsidRDefault="0046336B" w:rsidP="00C47434">
      <w:pPr>
        <w:pStyle w:val="Heading3"/>
        <w:snapToGrid w:val="0"/>
        <w:spacing w:line="520" w:lineRule="exact"/>
        <w:jc w:val="center"/>
        <w:rPr>
          <w:rFonts w:ascii="黑体" w:hAnsi="Times New Roman" w:cs="Times New Roman"/>
          <w:color w:val="000000"/>
          <w:kern w:val="2"/>
        </w:rPr>
      </w:pPr>
      <w:r w:rsidRPr="00C47434">
        <w:rPr>
          <w:rFonts w:ascii="黑体" w:hAnsi="Times New Roman" w:cs="黑体" w:hint="eastAsia"/>
          <w:color w:val="000000"/>
          <w:kern w:val="2"/>
        </w:rPr>
        <w:t>城乡融合发展重点任务》的通知</w:t>
      </w:r>
    </w:p>
    <w:p w:rsidR="0046336B" w:rsidRPr="00C47434" w:rsidRDefault="0046336B" w:rsidP="00C47434">
      <w:pPr>
        <w:pStyle w:val="Heading3"/>
        <w:snapToGrid w:val="0"/>
        <w:spacing w:line="520" w:lineRule="exact"/>
        <w:jc w:val="center"/>
        <w:rPr>
          <w:rFonts w:ascii="仿宋_GB2312" w:eastAsia="仿宋_GB2312" w:cs="Times New Roman"/>
          <w:b w:val="0"/>
          <w:bCs w:val="0"/>
          <w:kern w:val="2"/>
          <w:sz w:val="28"/>
          <w:szCs w:val="28"/>
        </w:rPr>
      </w:pPr>
      <w:r w:rsidRPr="00C47434">
        <w:rPr>
          <w:rFonts w:ascii="仿宋_GB2312" w:eastAsia="仿宋_GB2312" w:hAnsi="Calibri" w:cs="仿宋_GB2312" w:hint="eastAsia"/>
          <w:b w:val="0"/>
          <w:bCs w:val="0"/>
          <w:kern w:val="2"/>
          <w:sz w:val="21"/>
          <w:szCs w:val="21"/>
        </w:rPr>
        <w:t>发改规划〔</w:t>
      </w:r>
      <w:r w:rsidRPr="00C47434">
        <w:rPr>
          <w:rFonts w:ascii="仿宋_GB2312" w:eastAsia="仿宋_GB2312" w:hAnsi="Calibri" w:cs="仿宋_GB2312"/>
          <w:b w:val="0"/>
          <w:bCs w:val="0"/>
          <w:kern w:val="2"/>
          <w:sz w:val="21"/>
          <w:szCs w:val="21"/>
        </w:rPr>
        <w:t>2021</w:t>
      </w:r>
      <w:r w:rsidRPr="00C47434">
        <w:rPr>
          <w:rFonts w:ascii="仿宋_GB2312" w:eastAsia="仿宋_GB2312" w:hAnsi="Calibri" w:cs="仿宋_GB2312" w:hint="eastAsia"/>
          <w:b w:val="0"/>
          <w:bCs w:val="0"/>
          <w:kern w:val="2"/>
          <w:sz w:val="21"/>
          <w:szCs w:val="21"/>
        </w:rPr>
        <w:t>〕</w:t>
      </w:r>
      <w:r w:rsidRPr="00C47434">
        <w:rPr>
          <w:rFonts w:ascii="仿宋_GB2312" w:eastAsia="仿宋_GB2312" w:hAnsi="Calibri" w:cs="仿宋_GB2312"/>
          <w:b w:val="0"/>
          <w:bCs w:val="0"/>
          <w:kern w:val="2"/>
          <w:sz w:val="21"/>
          <w:szCs w:val="21"/>
        </w:rPr>
        <w:t>493</w:t>
      </w:r>
      <w:r w:rsidRPr="00C47434">
        <w:rPr>
          <w:rFonts w:ascii="仿宋_GB2312" w:eastAsia="仿宋_GB2312" w:hAnsi="Calibri" w:cs="仿宋_GB2312" w:hint="eastAsia"/>
          <w:b w:val="0"/>
          <w:bCs w:val="0"/>
          <w:kern w:val="2"/>
          <w:sz w:val="21"/>
          <w:szCs w:val="21"/>
        </w:rPr>
        <w:t>号</w:t>
      </w:r>
    </w:p>
    <w:p w:rsidR="0046336B" w:rsidRPr="00C47434" w:rsidRDefault="0046336B" w:rsidP="00934244">
      <w:pPr>
        <w:pStyle w:val="Heading3"/>
        <w:snapToGrid w:val="0"/>
        <w:spacing w:line="510" w:lineRule="exact"/>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中央和国家机关有关部门、直属机构，各省、自治区、直辖市及计划单列市、新疆生产建设兵团发展改革委，全国工商联，中国国家铁路集团有限公司、国家开发银行、中国农业发展银行：</w:t>
      </w:r>
    </w:p>
    <w:p w:rsidR="0046336B" w:rsidRPr="00C47434" w:rsidRDefault="0046336B" w:rsidP="00934244">
      <w:pPr>
        <w:pStyle w:val="Heading3"/>
        <w:snapToGrid w:val="0"/>
        <w:spacing w:line="510" w:lineRule="exact"/>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经城镇化工作暨城乡融合发展工作部际联席会议第二次会议审议通过，现将《</w:t>
      </w:r>
      <w:r w:rsidRPr="00C47434">
        <w:rPr>
          <w:rFonts w:ascii="仿宋_GB2312" w:eastAsia="仿宋_GB2312" w:cs="仿宋_GB2312"/>
          <w:b w:val="0"/>
          <w:bCs w:val="0"/>
          <w:kern w:val="2"/>
          <w:sz w:val="28"/>
          <w:szCs w:val="28"/>
        </w:rPr>
        <w:t>2021</w:t>
      </w:r>
      <w:r w:rsidRPr="00C47434">
        <w:rPr>
          <w:rFonts w:ascii="仿宋_GB2312" w:eastAsia="仿宋_GB2312" w:cs="仿宋_GB2312" w:hint="eastAsia"/>
          <w:b w:val="0"/>
          <w:bCs w:val="0"/>
          <w:kern w:val="2"/>
          <w:sz w:val="28"/>
          <w:szCs w:val="28"/>
        </w:rPr>
        <w:t>年新型城镇化和城乡融合发展重点任务》印发你们，请认真贯彻执行。</w:t>
      </w:r>
    </w:p>
    <w:p w:rsidR="0046336B" w:rsidRPr="00C47434" w:rsidRDefault="0046336B" w:rsidP="00934244">
      <w:pPr>
        <w:pStyle w:val="Heading3"/>
        <w:snapToGrid w:val="0"/>
        <w:spacing w:line="510" w:lineRule="exact"/>
        <w:jc w:val="center"/>
        <w:rPr>
          <w:rFonts w:ascii="仿宋_GB2312" w:eastAsia="仿宋_GB2312" w:cs="Times New Roman"/>
          <w:b w:val="0"/>
          <w:bCs w:val="0"/>
          <w:kern w:val="2"/>
          <w:sz w:val="28"/>
          <w:szCs w:val="28"/>
        </w:rPr>
      </w:pPr>
      <w:r w:rsidRPr="00C47434">
        <w:rPr>
          <w:rFonts w:ascii="仿宋_GB2312" w:eastAsia="仿宋_GB2312" w:cs="仿宋_GB2312"/>
          <w:b w:val="0"/>
          <w:bCs w:val="0"/>
          <w:kern w:val="2"/>
          <w:sz w:val="28"/>
          <w:szCs w:val="28"/>
        </w:rPr>
        <w:t>2021</w:t>
      </w:r>
      <w:r w:rsidRPr="00C47434">
        <w:rPr>
          <w:rFonts w:ascii="仿宋_GB2312" w:eastAsia="仿宋_GB2312" w:cs="仿宋_GB2312" w:hint="eastAsia"/>
          <w:b w:val="0"/>
          <w:bCs w:val="0"/>
          <w:kern w:val="2"/>
          <w:sz w:val="28"/>
          <w:szCs w:val="28"/>
        </w:rPr>
        <w:t>年新型城镇化和城乡融合发展重点任务</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b w:val="0"/>
          <w:bCs w:val="0"/>
          <w:kern w:val="2"/>
          <w:sz w:val="28"/>
          <w:szCs w:val="28"/>
        </w:rPr>
        <w:t>2021</w:t>
      </w:r>
      <w:r w:rsidRPr="00C47434">
        <w:rPr>
          <w:rFonts w:ascii="仿宋_GB2312" w:eastAsia="仿宋_GB2312" w:cs="仿宋_GB2312" w:hint="eastAsia"/>
          <w:b w:val="0"/>
          <w:bCs w:val="0"/>
          <w:kern w:val="2"/>
          <w:sz w:val="28"/>
          <w:szCs w:val="28"/>
        </w:rPr>
        <w:t>年是中国共产党成立</w:t>
      </w:r>
      <w:r w:rsidRPr="00C47434">
        <w:rPr>
          <w:rFonts w:ascii="仿宋_GB2312" w:eastAsia="仿宋_GB2312" w:cs="仿宋_GB2312"/>
          <w:b w:val="0"/>
          <w:bCs w:val="0"/>
          <w:kern w:val="2"/>
          <w:sz w:val="28"/>
          <w:szCs w:val="28"/>
        </w:rPr>
        <w:t>100</w:t>
      </w:r>
      <w:r w:rsidRPr="00C47434">
        <w:rPr>
          <w:rFonts w:ascii="仿宋_GB2312" w:eastAsia="仿宋_GB2312" w:cs="仿宋_GB2312" w:hint="eastAsia"/>
          <w:b w:val="0"/>
          <w:bCs w:val="0"/>
          <w:kern w:val="2"/>
          <w:sz w:val="28"/>
          <w:szCs w:val="28"/>
        </w:rPr>
        <w:t>周年，是“十四五”规划开局之年，是我国现代化建设进程中具有特殊重要性的一年。为贯彻落实党的十九届五中全会精神，推动落实国家“十四五”规划《纲要》有关重要部署，现提出</w:t>
      </w:r>
      <w:r w:rsidRPr="00C47434">
        <w:rPr>
          <w:rFonts w:ascii="仿宋_GB2312" w:eastAsia="仿宋_GB2312" w:cs="仿宋_GB2312"/>
          <w:b w:val="0"/>
          <w:bCs w:val="0"/>
          <w:kern w:val="2"/>
          <w:sz w:val="28"/>
          <w:szCs w:val="28"/>
        </w:rPr>
        <w:t>2021</w:t>
      </w:r>
      <w:r w:rsidRPr="00C47434">
        <w:rPr>
          <w:rFonts w:ascii="仿宋_GB2312" w:eastAsia="仿宋_GB2312" w:cs="仿宋_GB2312" w:hint="eastAsia"/>
          <w:b w:val="0"/>
          <w:bCs w:val="0"/>
          <w:kern w:val="2"/>
          <w:sz w:val="28"/>
          <w:szCs w:val="28"/>
        </w:rPr>
        <w:t>年新型城镇化和城乡融合发展重点任务。</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一、总体要求</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以习近平新时代中国特色社会主义思想为指导，全面贯彻党的十九大和十九届二中、三中、四中、五中全会精神，坚持稳中求进工作总基调，立足新发展阶段、贯彻新发展理念、构建新发展格局，统筹发展和安全，深入实施以人为核心的新型城镇化战略，促进农业转移人口有序有效融入城市，增强城市群和都市圈承载能力，转变超大特大城市发展方式，提升城市建设与治理现代化水平，推进以县城为重要载体的城镇化建设，加快推进城乡融合发展，为“十四五”开好局起好步提供有力支撑。</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二、促进农业转移人口有序有效融入城市</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协同推进户籍制度改革和城镇基本公共服务常住人口全覆盖，提高农业转移人口市民化质量。</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（一）有序放开放宽城市落户限制。各类城市要根据资源环境承载能力和经济社会发展实际需求，合理确定落户条件，坚持存量优先原则，推动进城就业生活</w:t>
      </w:r>
      <w:r w:rsidRPr="00C47434">
        <w:rPr>
          <w:rFonts w:ascii="仿宋_GB2312" w:eastAsia="仿宋_GB2312" w:cs="仿宋_GB2312"/>
          <w:b w:val="0"/>
          <w:bCs w:val="0"/>
          <w:kern w:val="2"/>
          <w:sz w:val="28"/>
          <w:szCs w:val="28"/>
        </w:rPr>
        <w:t>5</w:t>
      </w:r>
      <w:r w:rsidRPr="00C47434">
        <w:rPr>
          <w:rFonts w:ascii="仿宋_GB2312" w:eastAsia="仿宋_GB2312" w:cs="仿宋_GB2312" w:hint="eastAsia"/>
          <w:b w:val="0"/>
          <w:bCs w:val="0"/>
          <w:kern w:val="2"/>
          <w:sz w:val="28"/>
          <w:szCs w:val="28"/>
        </w:rPr>
        <w:t>年以上和举家迁徙的农业转移人口、在城镇稳定就业生活的新生代农民工、农村学生升学和参军进城的人口等重点人群便捷落户。城区常住人口</w:t>
      </w:r>
      <w:r w:rsidRPr="00C47434">
        <w:rPr>
          <w:rFonts w:ascii="仿宋_GB2312" w:eastAsia="仿宋_GB2312" w:cs="仿宋_GB2312"/>
          <w:b w:val="0"/>
          <w:bCs w:val="0"/>
          <w:kern w:val="2"/>
          <w:sz w:val="28"/>
          <w:szCs w:val="28"/>
        </w:rPr>
        <w:t>300</w:t>
      </w:r>
      <w:r w:rsidRPr="00C47434">
        <w:rPr>
          <w:rFonts w:ascii="仿宋_GB2312" w:eastAsia="仿宋_GB2312" w:cs="仿宋_GB2312" w:hint="eastAsia"/>
          <w:b w:val="0"/>
          <w:bCs w:val="0"/>
          <w:kern w:val="2"/>
          <w:sz w:val="28"/>
          <w:szCs w:val="28"/>
        </w:rPr>
        <w:t>万以下城市落实全面取消落户限制政策，实行积分落户政策的城市确保社保缴纳年限和居住年限分数占主要比例。城市落户政策要对租购房者同等对待，允许租房常住人口在公共户口落户。城市要整体谋划、周密设计，统筹做好放开放宽落户、人才引进和房地产调控工作。推动具备条件的城市群和都市圈内社保缴纳年限和居住年限累计互认。（公安部、发展改革委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二）推动城镇基本公共服务覆盖未落户常住人口。鼓励在人口集中流入城市扩大义务教育阶段公办学校学位供给，优化事业编制调配、增加教师编制数量。支持有条件地区将未落户常住人口纳入普惠性学前教育保障范围。简化社保转移接续程序。完成养老保险全国统筹信息系统建设。推进普通门诊费用跨省直接结算。（发展改革委、中央编办、财政部、教育部、人力资源社会保障部、卫生健康委、医保局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（三）提升农业转移人口技能素质。高质量推进补贴性培训，完成职业技能提升行动方案确定的</w:t>
      </w:r>
      <w:r w:rsidRPr="00C47434">
        <w:rPr>
          <w:rFonts w:ascii="仿宋_GB2312" w:eastAsia="仿宋_GB2312" w:cs="仿宋_GB2312"/>
          <w:b w:val="0"/>
          <w:bCs w:val="0"/>
          <w:kern w:val="2"/>
          <w:sz w:val="28"/>
          <w:szCs w:val="28"/>
        </w:rPr>
        <w:t>5000</w:t>
      </w:r>
      <w:r w:rsidRPr="00C47434">
        <w:rPr>
          <w:rFonts w:ascii="仿宋_GB2312" w:eastAsia="仿宋_GB2312" w:cs="仿宋_GB2312" w:hint="eastAsia"/>
          <w:b w:val="0"/>
          <w:bCs w:val="0"/>
          <w:kern w:val="2"/>
          <w:sz w:val="28"/>
          <w:szCs w:val="28"/>
        </w:rPr>
        <w:t>万人次目标。面向农业转移人口特别是新生代农民工，深化实施农民工“春潮行动”“求学圆梦行动”、新生代农民工职业技能提升行动，支持企业开展新型学徒制培训并按规定给予培训补贴。结合疫情防控形势，适时加大农民工稳就业职业技能培训计划力度。结合促进农民工返乡就业创业和承接产业转移，开展针对性创业技能培训。扩大职业院校面向农业转移人口的招生规模。（人力资源社会保障部、教育部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四）健全配套政策体系。继续安排中央财政市民化奖励资金。健全城镇建设用地增加规模与吸纳农业转移人口落户数量挂钩机制。依法维护进城落户农民承包地、宅基地、集体资产等权益，支持探索农村“三权”依法自愿有偿退出机制。根据第七次全国人口普查结果，发布县及县以上城镇常住人口数据，研究建立各城市城区常住人口数据统计发布机制，结合大数据技术推进常态化统计发布。（财政部、自然资源部、农业农村部、统计局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三、提升城市群和都市圈承载能力</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增强中心城市对周边地区辐射带动能力，培育发展现代化都市圈，增强城市群人口经济承载能力，形成都市圈引领城市群、城市群带动区域高质量发展的空间动力系统。</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五）健全城市群一体化发展机制。制定京津冀协同发展、粤港澳大湾区建设、长三角一体化发展“十四五”实施方案。扎实实施成渝地区双城经济圈建设规划纲要。研究编制长江中游、北部湾、关中平原等跨省区城市群实施方案，有序引导省内城市群发展。健全城市群多层次协调机制和成本共担利益共享机制，提高一体化发展水平。（发展改革委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六）培育发展现代化都市圈。支持福州、成都、西安等都市圈编制实施发展规划，支持其他有条件中心城市在省级政府指导下牵头编制都市圈发展规划。充分利用既有铁路开行市域（郊）列车，科学有序发展市域（郊）铁路，打通城际“断头路”。推进生态环境共防共治，构建城市间绿色隔离和生态廊道。建立都市圈常态化协商协调机制，探索建立重大突发事件联动响应机制。（发展改革委、生态环境部、交通运输部、国铁集团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七）建设轨道上的城市群和都市圈。加快规划建设京津冀、长三角、粤港澳大湾区等重点城市群城际铁路，支持其他有条件城市群合理规划建设城际轨道交通。优化综合交通枢纽布局，建设一体化综合客运枢纽和衔接高效的综合货运枢纽，促进各类交通方式无缝接驳、便捷换乘。推广交通“一卡通”、二维码“一码畅行”。（发展改革委、交通运输部、国铁集团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四、促进大中小城市和小城镇协调发展</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统筹城市布局的规模经济效益和生态健康安全需要，促进城市合理分工、协调联动，优化城镇规模结构。</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八）促进超大特大城市优化发展。推动开发建设方式从规模扩张向内涵提升转变。有序疏解中心城区一般性制造业、区域性物流基地、专业市场等功能和设施，以及过度集中的医疗和高等教育等公共服务资源，合理降低开发强度和人口密度。提升市政交通、生态环保和社区等治理能力，有效破解“大城市病”。在中心城区周边科学发展郊区卫星城，促进多中心、组团式发展，实现产城融合和职住平衡。系统评估排查风险隐患，提高风险防控能力。（发展改革委、自然资源部、住房城乡建设部、公安部、生态环境部、应急管理部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九）推进县城补短板强弱项。加快补齐县城公共服务设施、环境基础设施、市政公用设施、产业配套设施短板弱项。加强项目谋划设计，分类设计公益性、准公益性和经营性项目，加快项目前期工作。在债务风险可控前提下，加大中央预算内投资和地方政府专项债券等财政性资金统筹支持力度，有序发行县城新型城镇化建设专项企业债券。健全政银企对接长效机制，协调引导有实力的大型企业承担相关建设任务，吸引开发性政策性和商业性金融机构中长期信贷资金积极投入，利用现有国外优惠贷款渠道予以投入。发挥</w:t>
      </w:r>
      <w:r w:rsidRPr="00C47434">
        <w:rPr>
          <w:rFonts w:ascii="仿宋_GB2312" w:eastAsia="仿宋_GB2312" w:cs="仿宋_GB2312"/>
          <w:b w:val="0"/>
          <w:bCs w:val="0"/>
          <w:kern w:val="2"/>
          <w:sz w:val="28"/>
          <w:szCs w:val="28"/>
        </w:rPr>
        <w:t>120</w:t>
      </w:r>
      <w:r w:rsidRPr="00C47434">
        <w:rPr>
          <w:rFonts w:ascii="仿宋_GB2312" w:eastAsia="仿宋_GB2312" w:cs="仿宋_GB2312" w:hint="eastAsia"/>
          <w:b w:val="0"/>
          <w:bCs w:val="0"/>
          <w:kern w:val="2"/>
          <w:sz w:val="28"/>
          <w:szCs w:val="28"/>
        </w:rPr>
        <w:t>个县城建设示范地区带动作用，支持在有条件县城建设一批产业转型升级示范园区。结合新型城镇化建设，健全易地扶贫搬迁大型安置区公共设施。（发展改革委、财政部、人民银行、国资委、自然资源部、住房城乡建设部、开发银行、农业发展银行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强化边境地区城镇功能。全面增强边境城镇承载人口、连接城乡、支撑国防的能力。开展兴边富民行动中心城镇建设试点，改善基础设施和公共服务，提高引产聚人能力。建设沿边抵边公路，发展一批抵边新村和新生抵边城镇，引导边民向沿边抵边公路、边民互市贸易点、抵边聚居点等适度集中。（发展改革委、交通运输部、自然资源部、住房城乡建设部、卫生健康委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一）促进特色小镇规范健康发展。推动《国务院办公厅转发国家发展改革委关于促进特色小镇规范健康发展意见的通知》全面落实落地。统一实行清单管理，以各省份为单元全面建立特色小镇清单，开展动态调整、优胜劣汰。制发特色小镇发展导则，引导树立控制数量、提高质量导向，强化正面引导和分类指导。统筹典型引路和负面警示，推广新一轮特色小镇建设典型经验，加强监督监管、整改违规行为。（发展改革委、财政部、自然资源部、生态环境部、住房城乡建设部、市场监管总局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五、加快建设现代化城市</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顺应城市发展新理念新趋势，建设宜居、创新、智慧、绿色、人文、韧性城市，推进城市现代化试点示范，使城市成为人民高品质生活的空间。</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二）着力解决大城市住房突出问题。坚持房子是用来住的、不是用来炒的定位，因地制宜、多策并举，稳定地价、房价和预期，促进房地产市场平稳健康发展。加快培育发展住房租赁市场，有效盘活存量住房资源，有力有序扩大租赁住房供给，完善长租房政策，合理调控租金水平。以人口流入多、房价高的城市为重点，扩大保障性租赁住房供给，着力解决困难群体和农业转移人口、新就业大学生等新市民住房问题。单列租赁住房用地计划，探索利用农村集体建设用地和企事业单位自有闲置土地建设租赁住房，支持将非住宅房屋改建为保障性租赁住房。（住房城乡建设部、自然资源部、发展改革委、财政部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三）建设新型智慧城市。推进市政公用设施智能化升级，改造交通、公安和水电气热等重点领域终端系统。建设“城市数据大脑”等数字化智慧化管理平台，推动数据整合共享，提升城市运行管理和应急处置能力。全面推行城市运行“一网通管”，拓展丰富智慧城市应用场景。（发展改革委、工业和信息化部、住房城乡建设部、自然资源部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四）建设低碳绿色城市。全面推进生活垃圾分类，加快建设生活垃圾焚烧处理设施，完善医疗废弃物和危险废弃物处置设施。提升污水管网收集能力，推行污水资源化利用，推进污泥无害化处置。加强城市大气质量达标管理，推进细颗粒物（</w:t>
      </w:r>
      <w:r w:rsidRPr="00C47434">
        <w:rPr>
          <w:rFonts w:ascii="仿宋_GB2312" w:eastAsia="仿宋_GB2312" w:cs="仿宋_GB2312"/>
          <w:b w:val="0"/>
          <w:bCs w:val="0"/>
          <w:kern w:val="2"/>
          <w:sz w:val="28"/>
          <w:szCs w:val="28"/>
        </w:rPr>
        <w:t>PM2.5</w:t>
      </w:r>
      <w:r w:rsidRPr="00C47434">
        <w:rPr>
          <w:rFonts w:ascii="仿宋_GB2312" w:eastAsia="仿宋_GB2312" w:cs="仿宋_GB2312" w:hint="eastAsia"/>
          <w:b w:val="0"/>
          <w:bCs w:val="0"/>
          <w:kern w:val="2"/>
          <w:sz w:val="28"/>
          <w:szCs w:val="28"/>
        </w:rPr>
        <w:t>）和臭氧（</w:t>
      </w:r>
      <w:r w:rsidRPr="00C47434">
        <w:rPr>
          <w:rFonts w:ascii="仿宋_GB2312" w:eastAsia="仿宋_GB2312" w:cs="仿宋_GB2312"/>
          <w:b w:val="0"/>
          <w:bCs w:val="0"/>
          <w:kern w:val="2"/>
          <w:sz w:val="28"/>
          <w:szCs w:val="28"/>
        </w:rPr>
        <w:t>O3</w:t>
      </w:r>
      <w:r w:rsidRPr="00C47434">
        <w:rPr>
          <w:rFonts w:ascii="仿宋_GB2312" w:eastAsia="仿宋_GB2312" w:cs="仿宋_GB2312" w:hint="eastAsia"/>
          <w:b w:val="0"/>
          <w:bCs w:val="0"/>
          <w:kern w:val="2"/>
          <w:sz w:val="28"/>
          <w:szCs w:val="28"/>
        </w:rPr>
        <w:t>）协同控制。推动重点城市群消除城区黑臭水体和劣</w:t>
      </w:r>
      <w:r w:rsidRPr="00C47434">
        <w:rPr>
          <w:rFonts w:ascii="仿宋_GB2312" w:eastAsia="仿宋_GB2312" w:cs="仿宋_GB2312"/>
          <w:b w:val="0"/>
          <w:bCs w:val="0"/>
          <w:kern w:val="2"/>
          <w:sz w:val="28"/>
          <w:szCs w:val="28"/>
        </w:rPr>
        <w:t>V</w:t>
      </w:r>
      <w:r w:rsidRPr="00C47434">
        <w:rPr>
          <w:rFonts w:ascii="仿宋_GB2312" w:eastAsia="仿宋_GB2312" w:cs="仿宋_GB2312" w:hint="eastAsia"/>
          <w:b w:val="0"/>
          <w:bCs w:val="0"/>
          <w:kern w:val="2"/>
          <w:sz w:val="28"/>
          <w:szCs w:val="28"/>
        </w:rPr>
        <w:t>类水体断面。开展爱国卫生运动，推广文明健康生活习惯，加强背街小巷等环境卫生死角整治。控制城市温室气体排放，推动能源清洁低碳安全高效利用，深入推进工业、建筑、交通等领域绿色低碳转型。（发展改革委、住房城乡建设部、生态环境部、卫生健康委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五）增强城市发展韧性。完善公立医院传染病救治设施，改善疾控基础条件，加强业务用房建设和必要设备配置，补齐县城公共卫生防控救治短板。提高平疫结合能力，确保改建新建的大型公共设施具备短期内改造为方舱医院的条件。统筹推进城市内涝治理和海绵城市建设，改造河道、堤防、水库等防洪设施，重点治理严重易涝积水区段。健全重要应急物资收储调配机制、基本生活用品保障机制。（发展改革委、卫生健康委、住房城乡建设部、水利部、自然资源部、应急管理部、体育总局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六）优化城市交通服务体系。深入建设公交都市，开展绿色出行创建行动，完善定制公交、自行车道和步行道。完善以配建停车场为主、公共停车场为辅、路侧停车位为补充的停车设施体系，健全住宅小区和公共停车场充电设施，开展创新筹资方式支持停车场建设试点。（住房城乡建设部、交通运输部、发展改革委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（十七）实施城市更新行动。在老城区推进以老旧小区、老旧厂区、老旧街区、城中村等“三区一村”改造为主要内容的城市更新行动。加快推进老旧小区改造，</w:t>
      </w:r>
      <w:r w:rsidRPr="00C47434">
        <w:rPr>
          <w:rFonts w:ascii="仿宋_GB2312" w:eastAsia="仿宋_GB2312" w:cs="仿宋_GB2312"/>
          <w:b w:val="0"/>
          <w:bCs w:val="0"/>
          <w:kern w:val="2"/>
          <w:sz w:val="28"/>
          <w:szCs w:val="28"/>
        </w:rPr>
        <w:t>2021</w:t>
      </w:r>
      <w:r w:rsidRPr="00C47434">
        <w:rPr>
          <w:rFonts w:ascii="仿宋_GB2312" w:eastAsia="仿宋_GB2312" w:cs="仿宋_GB2312" w:hint="eastAsia"/>
          <w:b w:val="0"/>
          <w:bCs w:val="0"/>
          <w:kern w:val="2"/>
          <w:sz w:val="28"/>
          <w:szCs w:val="28"/>
        </w:rPr>
        <w:t>年新开工改造</w:t>
      </w:r>
      <w:r w:rsidRPr="00C47434">
        <w:rPr>
          <w:rFonts w:ascii="仿宋_GB2312" w:eastAsia="仿宋_GB2312" w:cs="仿宋_GB2312"/>
          <w:b w:val="0"/>
          <w:bCs w:val="0"/>
          <w:kern w:val="2"/>
          <w:sz w:val="28"/>
          <w:szCs w:val="28"/>
        </w:rPr>
        <w:t>5.3</w:t>
      </w:r>
      <w:r w:rsidRPr="00C47434">
        <w:rPr>
          <w:rFonts w:ascii="仿宋_GB2312" w:eastAsia="仿宋_GB2312" w:cs="仿宋_GB2312" w:hint="eastAsia"/>
          <w:b w:val="0"/>
          <w:bCs w:val="0"/>
          <w:kern w:val="2"/>
          <w:sz w:val="28"/>
          <w:szCs w:val="28"/>
        </w:rPr>
        <w:t>万个，有条件的可同步开展建筑节能改造。在城市群、都市圈和大城市等经济发展优势地区，探索老旧厂区和大型老旧街区改造。因地制宜将一批城中村改造为城市社区或其他空间。（住房城乡建设部、发展改革委、自然资源部、商务部、卫生健康委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六、提升城市治理水平</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树立全生命期管理理念，完善治理结构、创新治理方式，推动城市治理体系和治理能力现代化。</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八）优化城市空间治理。编制完成省市县三级国土空间规划，统筹划定生态保护红线、永久基本农田、城镇开发边界三条控制线。促进城镇建设用地集约高效利用，全面推行增量投放与存量盘活利用相挂钩。适当扩大住宅用地供应比例，提高工业用地利用效率，有序增加蓝绿生态空间。探索推行混合产业用地供给、分层开发、立体开发和以公共交通为导向的开发（</w:t>
      </w:r>
      <w:r w:rsidRPr="00C47434">
        <w:rPr>
          <w:rFonts w:ascii="仿宋_GB2312" w:eastAsia="仿宋_GB2312" w:cs="仿宋_GB2312"/>
          <w:b w:val="0"/>
          <w:bCs w:val="0"/>
          <w:kern w:val="2"/>
          <w:sz w:val="28"/>
          <w:szCs w:val="28"/>
        </w:rPr>
        <w:t>TOD</w:t>
      </w:r>
      <w:r w:rsidRPr="00C47434">
        <w:rPr>
          <w:rFonts w:ascii="仿宋_GB2312" w:eastAsia="仿宋_GB2312" w:cs="仿宋_GB2312" w:hint="eastAsia"/>
          <w:b w:val="0"/>
          <w:bCs w:val="0"/>
          <w:kern w:val="2"/>
          <w:sz w:val="28"/>
          <w:szCs w:val="28"/>
        </w:rPr>
        <w:t>）等模式。稳慎把握省会城市管辖范围和市辖区规模调整。落实适用、经济、绿色、美观的新时期建筑方针，严格限制建设</w:t>
      </w:r>
      <w:r w:rsidRPr="00C47434">
        <w:rPr>
          <w:rFonts w:ascii="仿宋_GB2312" w:eastAsia="仿宋_GB2312" w:cs="仿宋_GB2312"/>
          <w:b w:val="0"/>
          <w:bCs w:val="0"/>
          <w:kern w:val="2"/>
          <w:sz w:val="28"/>
          <w:szCs w:val="28"/>
        </w:rPr>
        <w:t>500</w:t>
      </w:r>
      <w:r w:rsidRPr="00C47434">
        <w:rPr>
          <w:rFonts w:ascii="仿宋_GB2312" w:eastAsia="仿宋_GB2312" w:cs="仿宋_GB2312" w:hint="eastAsia"/>
          <w:b w:val="0"/>
          <w:bCs w:val="0"/>
          <w:kern w:val="2"/>
          <w:sz w:val="28"/>
          <w:szCs w:val="28"/>
        </w:rPr>
        <w:t>米以上超高层建筑，严禁建设“丑陋建筑”。划定历史文化保护线，加强文物保护利用。（自然资源部、民政部、住房城乡建设部、文化和旅游部、文物局等负责）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十九）加强基层社会治理。根据常住人口规模优化街道社区设置和管辖范围。建设现代社区，以社区综合服务设施为依托，对接社区居民需求、提供便捷优质服务。引导社区社会组织、社会工作服务机构、社区志愿者、驻地企业单位等共同参与社区治理。支持老旧小区引入市场化物业服务或推行社区托管、社会组织代管等方式，提高物业服务质量和标准化水平。（民政部、住房城乡建设部、市场监管总局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七、加快推进城乡融合发展</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以县域为基本单元推进城乡融合发展，坚持以工补农、以城带乡，推进城乡要素双向自由流动和公共资源合理配置，以</w:t>
      </w:r>
      <w:r w:rsidRPr="00C47434">
        <w:rPr>
          <w:rFonts w:ascii="仿宋_GB2312" w:eastAsia="仿宋_GB2312" w:cs="仿宋_GB2312"/>
          <w:b w:val="0"/>
          <w:bCs w:val="0"/>
          <w:kern w:val="2"/>
          <w:sz w:val="28"/>
          <w:szCs w:val="28"/>
        </w:rPr>
        <w:t>11</w:t>
      </w:r>
      <w:r w:rsidRPr="00C47434">
        <w:rPr>
          <w:rFonts w:ascii="仿宋_GB2312" w:eastAsia="仿宋_GB2312" w:cs="仿宋_GB2312" w:hint="eastAsia"/>
          <w:b w:val="0"/>
          <w:bCs w:val="0"/>
          <w:kern w:val="2"/>
          <w:sz w:val="28"/>
          <w:szCs w:val="28"/>
        </w:rPr>
        <w:t>个国家城乡融合发展试验区为突破口，推动体制机制改革和政策举措落实落地。</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二十）促进人才入乡就业创业。鼓励各地制定人才加入乡村制度细则，允许入乡就业创业人员在原籍地或就业创业地落户并享有相关权益，探索以投资入股、合作等多种方式吸收人才入乡。建立科研人员入乡兼职和离岗创业制度，探索其在涉农企业技术入股、兼职兼薪机制。深入推行科技特派员制度。完善农民工返乡就业创业服务体系。引导工商资本入乡发展，培育一批城乡融合典型项目。（发展改革委、中央统战部、中央农办、农业农村部、科技部、人力资源社会保障部、全国工商联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二十一）深化改革农村土地制度。积极探索实施农村集体经营性建设用地入市制度，出台稳妥有序推进农村集体经营性建设用地入市的指导意见。推动深化农村宅基地制度改革试点地区率先健全宅基地分配、流转、抵押、退出、使用、收益、审批、监管等制度。鼓励农村集体经济组织及其成员采取自营、出租、入股、合作等方式，盘活农村闲置宅基地和地上房屋。（自然资源部、发展改革委、中央农办、农业农村部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二十二）推动公共设施向乡村延伸。统筹规划水气热等市政公用设施，推动向城市郊区乡村和规模较大中心镇延伸。推进城乡道路客运一体化发展，推进公路客运站改建迁建和功能提升。支持城郊承接城市专业市场和物流基地疏解，在县乡村合理布局冷链物流设施、配送投递设施和农贸市场网络，畅通农产品进城和工业品入乡通道。推进义务教育优质均衡发展和城乡一体化，促进义务教育教师“县管校聘”管理改革。实施医师区域注册，推进医师多机构执业，积极发展医疗联合体。依托国家城乡融合发展试验区等开展县域内城乡融合发展试点示范。（发展改革委、中央农办、农业农村部、住房城乡建设部、自然资源部、教育部、卫生健康委、商务部等负责）</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八、组织实施</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二十三）压实地方责任。省级发展改革委要牵头会同省级各有关部门，做好组织调度和任务分解，加大资金和用地等要素保障支持力度。市县级政府要切实推动任务落实、政策落地、项目见效，确保取得实质性进展和成效。</w:t>
      </w:r>
    </w:p>
    <w:p w:rsidR="0046336B" w:rsidRPr="00C47434" w:rsidRDefault="0046336B" w:rsidP="00934244">
      <w:pPr>
        <w:pStyle w:val="Heading3"/>
        <w:snapToGrid w:val="0"/>
        <w:spacing w:line="510" w:lineRule="exact"/>
        <w:ind w:firstLineChars="200" w:firstLine="31680"/>
        <w:jc w:val="both"/>
        <w:rPr>
          <w:rFonts w:ascii="仿宋_GB2312" w:eastAsia="仿宋_GB2312" w:cs="Times New Roman"/>
          <w:b w:val="0"/>
          <w:bCs w:val="0"/>
          <w:kern w:val="2"/>
          <w:sz w:val="28"/>
          <w:szCs w:val="28"/>
        </w:rPr>
      </w:pPr>
      <w:r w:rsidRPr="00C47434">
        <w:rPr>
          <w:rFonts w:ascii="仿宋_GB2312" w:eastAsia="仿宋_GB2312" w:cs="仿宋_GB2312" w:hint="eastAsia"/>
          <w:b w:val="0"/>
          <w:bCs w:val="0"/>
          <w:kern w:val="2"/>
          <w:sz w:val="28"/>
          <w:szCs w:val="28"/>
        </w:rPr>
        <w:t>（二十四）强化部际协同。国家发展改革委依托城镇化工作暨城乡融合发展工作部际联席会议制度，会同各有关部门加强统筹协调和指导督促。各有关部门要细化制定具体措施，并组织调动本系统力量扎实推进。</w:t>
      </w:r>
    </w:p>
    <w:p w:rsidR="0046336B" w:rsidRDefault="0046336B" w:rsidP="007F72ED">
      <w:pPr>
        <w:spacing w:line="520" w:lineRule="exact"/>
        <w:jc w:val="center"/>
        <w:rPr>
          <w:rFonts w:ascii="黑体" w:eastAsia="黑体"/>
          <w:b/>
          <w:bCs/>
          <w:color w:val="000000"/>
          <w:sz w:val="32"/>
          <w:szCs w:val="32"/>
        </w:rPr>
      </w:pPr>
    </w:p>
    <w:p w:rsidR="0046336B" w:rsidRDefault="0046336B" w:rsidP="00B4380C">
      <w:pPr>
        <w:spacing w:line="520" w:lineRule="exact"/>
        <w:ind w:right="480"/>
        <w:jc w:val="center"/>
        <w:rPr>
          <w:rFonts w:ascii="黑体" w:eastAsia="黑体"/>
          <w:b/>
          <w:bCs/>
          <w:color w:val="000000"/>
          <w:sz w:val="32"/>
          <w:szCs w:val="32"/>
        </w:rPr>
      </w:pPr>
      <w:r w:rsidRPr="00B4380C">
        <w:rPr>
          <w:rFonts w:ascii="黑体" w:eastAsia="黑体" w:cs="黑体"/>
          <w:b/>
          <w:bCs/>
          <w:color w:val="000000"/>
          <w:sz w:val="32"/>
          <w:szCs w:val="32"/>
        </w:rPr>
        <w:t>[</w:t>
      </w:r>
      <w:r w:rsidRPr="00B4380C">
        <w:rPr>
          <w:rFonts w:ascii="黑体" w:eastAsia="黑体" w:cs="黑体" w:hint="eastAsia"/>
          <w:b/>
          <w:bCs/>
          <w:color w:val="000000"/>
          <w:sz w:val="32"/>
          <w:szCs w:val="32"/>
        </w:rPr>
        <w:t>住建部</w:t>
      </w:r>
      <w:r w:rsidRPr="00B4380C">
        <w:rPr>
          <w:rFonts w:ascii="黑体" w:eastAsia="黑体" w:cs="黑体"/>
          <w:b/>
          <w:bCs/>
          <w:color w:val="000000"/>
          <w:sz w:val="32"/>
          <w:szCs w:val="32"/>
        </w:rPr>
        <w:t>]</w:t>
      </w:r>
      <w:r w:rsidRPr="00B4380C">
        <w:rPr>
          <w:rFonts w:ascii="黑体" w:eastAsia="黑体" w:cs="黑体" w:hint="eastAsia"/>
          <w:b/>
          <w:bCs/>
          <w:color w:val="000000"/>
          <w:sz w:val="32"/>
          <w:szCs w:val="32"/>
        </w:rPr>
        <w:t>关于启用全国工程质量安全监管信息平台的通知</w:t>
      </w:r>
    </w:p>
    <w:p w:rsidR="0046336B" w:rsidRPr="00B4380C" w:rsidRDefault="0046336B" w:rsidP="00B4380C">
      <w:pPr>
        <w:spacing w:line="520" w:lineRule="exact"/>
        <w:ind w:right="900"/>
        <w:jc w:val="center"/>
        <w:rPr>
          <w:rFonts w:ascii="黑体" w:eastAsia="黑体"/>
          <w:b/>
          <w:bCs/>
          <w:color w:val="000000"/>
          <w:sz w:val="32"/>
          <w:szCs w:val="32"/>
        </w:rPr>
      </w:pPr>
      <w:r w:rsidRPr="00B4380C">
        <w:rPr>
          <w:rFonts w:ascii="仿宋_GB2312" w:eastAsia="仿宋_GB2312" w:hAnsi="Calibri" w:cs="仿宋_GB2312" w:hint="eastAsia"/>
        </w:rPr>
        <w:t>建办质函〔</w:t>
      </w:r>
      <w:r w:rsidRPr="00B4380C">
        <w:rPr>
          <w:rFonts w:ascii="仿宋_GB2312" w:eastAsia="仿宋_GB2312" w:hAnsi="Calibri" w:cs="仿宋_GB2312"/>
        </w:rPr>
        <w:t>2021</w:t>
      </w:r>
      <w:r w:rsidRPr="00B4380C">
        <w:rPr>
          <w:rFonts w:ascii="仿宋_GB2312" w:eastAsia="仿宋_GB2312" w:hAnsi="Calibri" w:cs="仿宋_GB2312" w:hint="eastAsia"/>
        </w:rPr>
        <w:t>〕</w:t>
      </w:r>
      <w:r w:rsidRPr="00B4380C">
        <w:rPr>
          <w:rFonts w:ascii="仿宋_GB2312" w:eastAsia="仿宋_GB2312" w:hAnsi="Calibri" w:cs="仿宋_GB2312"/>
        </w:rPr>
        <w:t>159</w:t>
      </w:r>
      <w:r w:rsidRPr="00B4380C">
        <w:rPr>
          <w:rFonts w:ascii="仿宋_GB2312" w:eastAsia="仿宋_GB2312" w:hAnsi="Calibri" w:cs="仿宋_GB2312" w:hint="eastAsia"/>
        </w:rPr>
        <w:t>号</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各省、自治区住房和城乡建设厅，北京市住房和城乡建设委员会、规划和自然资源委员会，天津市住房和城乡建设委员会，上海市住房和城乡建设管理委员会、交通委员会，重庆市住房和城乡建设委员会，新疆生产建设兵团住房和城乡建设局，山东省交通运输厅：</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为贯彻落实《国务院办公厅关于促进建筑业持续健康发展的意见》（国办发〔</w:t>
      </w:r>
      <w:r w:rsidRPr="00B4380C">
        <w:rPr>
          <w:rFonts w:ascii="仿宋_GB2312" w:eastAsia="仿宋_GB2312" w:hAnsi="宋体" w:cs="仿宋_GB2312"/>
          <w:sz w:val="28"/>
          <w:szCs w:val="28"/>
        </w:rPr>
        <w:t>2017</w:t>
      </w:r>
      <w:r w:rsidRPr="00B4380C">
        <w:rPr>
          <w:rFonts w:ascii="仿宋_GB2312" w:eastAsia="仿宋_GB2312" w:hAnsi="宋体" w:cs="仿宋_GB2312" w:hint="eastAsia"/>
          <w:sz w:val="28"/>
          <w:szCs w:val="28"/>
        </w:rPr>
        <w:t>〕</w:t>
      </w:r>
      <w:r w:rsidRPr="00B4380C">
        <w:rPr>
          <w:rFonts w:ascii="仿宋_GB2312" w:eastAsia="仿宋_GB2312" w:hAnsi="宋体" w:cs="仿宋_GB2312"/>
          <w:sz w:val="28"/>
          <w:szCs w:val="28"/>
        </w:rPr>
        <w:t>19</w:t>
      </w:r>
      <w:r w:rsidRPr="00B4380C">
        <w:rPr>
          <w:rFonts w:ascii="仿宋_GB2312" w:eastAsia="仿宋_GB2312" w:hAnsi="宋体" w:cs="仿宋_GB2312" w:hint="eastAsia"/>
          <w:sz w:val="28"/>
          <w:szCs w:val="28"/>
        </w:rPr>
        <w:t>号）和《国务院办公厅转发住房城乡建设部关于完善质量保障体系提升建筑工程品质指导意见的通知》（国办函〔</w:t>
      </w:r>
      <w:r w:rsidRPr="00B4380C">
        <w:rPr>
          <w:rFonts w:ascii="仿宋_GB2312" w:eastAsia="仿宋_GB2312" w:hAnsi="宋体" w:cs="仿宋_GB2312"/>
          <w:sz w:val="28"/>
          <w:szCs w:val="28"/>
        </w:rPr>
        <w:t>2019</w:t>
      </w:r>
      <w:r w:rsidRPr="00B4380C">
        <w:rPr>
          <w:rFonts w:ascii="仿宋_GB2312" w:eastAsia="仿宋_GB2312" w:hAnsi="宋体" w:cs="仿宋_GB2312" w:hint="eastAsia"/>
          <w:sz w:val="28"/>
          <w:szCs w:val="28"/>
        </w:rPr>
        <w:t>〕</w:t>
      </w:r>
      <w:r w:rsidRPr="00B4380C">
        <w:rPr>
          <w:rFonts w:ascii="仿宋_GB2312" w:eastAsia="仿宋_GB2312" w:hAnsi="宋体" w:cs="仿宋_GB2312"/>
          <w:sz w:val="28"/>
          <w:szCs w:val="28"/>
        </w:rPr>
        <w:t>92</w:t>
      </w:r>
      <w:r w:rsidRPr="00B4380C">
        <w:rPr>
          <w:rFonts w:ascii="仿宋_GB2312" w:eastAsia="仿宋_GB2312" w:hAnsi="宋体" w:cs="仿宋_GB2312" w:hint="eastAsia"/>
          <w:sz w:val="28"/>
          <w:szCs w:val="28"/>
        </w:rPr>
        <w:t>号）精神，全面推行“互联网</w:t>
      </w:r>
      <w:r w:rsidRPr="00B4380C">
        <w:rPr>
          <w:rFonts w:ascii="仿宋_GB2312" w:eastAsia="仿宋_GB2312" w:hAnsi="宋体" w:cs="仿宋_GB2312"/>
          <w:sz w:val="28"/>
          <w:szCs w:val="28"/>
        </w:rPr>
        <w:t>+</w:t>
      </w:r>
      <w:r w:rsidRPr="00B4380C">
        <w:rPr>
          <w:rFonts w:ascii="仿宋_GB2312" w:eastAsia="仿宋_GB2312" w:hAnsi="宋体" w:cs="仿宋_GB2312" w:hint="eastAsia"/>
          <w:sz w:val="28"/>
          <w:szCs w:val="28"/>
        </w:rPr>
        <w:t>监管”模式，以信息化手段加强房屋建筑和市政基础设施工程质量安全监管，大力促进信息共享和业务协同，我部组织开发了全国工程质量安全监管信息平台（以下简称平台），定于近期上线启用。现将有关事项通知如下：</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一、工作目标</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构建一体化的全国房屋建筑和市政基础设施工程质量安全监管信息平台，覆盖建筑施工安全监管、工程勘察设计质量监管、工程质量监管、城市轨道交通工程质量安全监管等业务，支撑部、省、市、县各级住房和城乡建设部门及有关部门履行房屋建筑和市政基础设施工程质量安全监管职能，实现跨层级、跨地区、跨部门间信息共享和业务协同，提升监管工作效能和政务服务能力，有力维护人民群众生命财产安全。</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二、启用时间</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自</w:t>
      </w:r>
      <w:r w:rsidRPr="00B4380C">
        <w:rPr>
          <w:rFonts w:ascii="仿宋_GB2312" w:eastAsia="仿宋_GB2312" w:hAnsi="宋体" w:cs="仿宋_GB2312"/>
          <w:sz w:val="28"/>
          <w:szCs w:val="28"/>
        </w:rPr>
        <w:t>2021</w:t>
      </w:r>
      <w:r w:rsidRPr="00B4380C">
        <w:rPr>
          <w:rFonts w:ascii="仿宋_GB2312" w:eastAsia="仿宋_GB2312" w:hAnsi="宋体" w:cs="仿宋_GB2312" w:hint="eastAsia"/>
          <w:sz w:val="28"/>
          <w:szCs w:val="28"/>
        </w:rPr>
        <w:t>年</w:t>
      </w:r>
      <w:r w:rsidRPr="00B4380C">
        <w:rPr>
          <w:rFonts w:ascii="仿宋_GB2312" w:eastAsia="仿宋_GB2312" w:hAnsi="宋体" w:cs="仿宋_GB2312"/>
          <w:sz w:val="28"/>
          <w:szCs w:val="28"/>
        </w:rPr>
        <w:t>4</w:t>
      </w:r>
      <w:r w:rsidRPr="00B4380C">
        <w:rPr>
          <w:rFonts w:ascii="仿宋_GB2312" w:eastAsia="仿宋_GB2312" w:hAnsi="宋体" w:cs="仿宋_GB2312" w:hint="eastAsia"/>
          <w:sz w:val="28"/>
          <w:szCs w:val="28"/>
        </w:rPr>
        <w:t>月</w:t>
      </w:r>
      <w:r w:rsidRPr="00B4380C">
        <w:rPr>
          <w:rFonts w:ascii="仿宋_GB2312" w:eastAsia="仿宋_GB2312" w:hAnsi="宋体" w:cs="仿宋_GB2312"/>
          <w:sz w:val="28"/>
          <w:szCs w:val="28"/>
        </w:rPr>
        <w:t>15</w:t>
      </w:r>
      <w:r w:rsidRPr="00B4380C">
        <w:rPr>
          <w:rFonts w:ascii="仿宋_GB2312" w:eastAsia="仿宋_GB2312" w:hAnsi="宋体" w:cs="仿宋_GB2312" w:hint="eastAsia"/>
          <w:sz w:val="28"/>
          <w:szCs w:val="28"/>
        </w:rPr>
        <w:t>日起，各地住房和城乡建设部门及有关部门可登录平台，熟悉系统环境，试用系统功能；自</w:t>
      </w:r>
      <w:r w:rsidRPr="00B4380C">
        <w:rPr>
          <w:rFonts w:ascii="仿宋_GB2312" w:eastAsia="仿宋_GB2312" w:hAnsi="宋体" w:cs="仿宋_GB2312"/>
          <w:sz w:val="28"/>
          <w:szCs w:val="28"/>
        </w:rPr>
        <w:t>2021</w:t>
      </w:r>
      <w:r w:rsidRPr="00B4380C">
        <w:rPr>
          <w:rFonts w:ascii="仿宋_GB2312" w:eastAsia="仿宋_GB2312" w:hAnsi="宋体" w:cs="仿宋_GB2312" w:hint="eastAsia"/>
          <w:sz w:val="28"/>
          <w:szCs w:val="28"/>
        </w:rPr>
        <w:t>年</w:t>
      </w:r>
      <w:r w:rsidRPr="00B4380C">
        <w:rPr>
          <w:rFonts w:ascii="仿宋_GB2312" w:eastAsia="仿宋_GB2312" w:hAnsi="宋体" w:cs="仿宋_GB2312"/>
          <w:sz w:val="28"/>
          <w:szCs w:val="28"/>
        </w:rPr>
        <w:t>5</w:t>
      </w:r>
      <w:r w:rsidRPr="00B4380C">
        <w:rPr>
          <w:rFonts w:ascii="仿宋_GB2312" w:eastAsia="仿宋_GB2312" w:hAnsi="宋体" w:cs="仿宋_GB2312" w:hint="eastAsia"/>
          <w:sz w:val="28"/>
          <w:szCs w:val="28"/>
        </w:rPr>
        <w:t>月</w:t>
      </w:r>
      <w:r w:rsidRPr="00B4380C">
        <w:rPr>
          <w:rFonts w:ascii="仿宋_GB2312" w:eastAsia="仿宋_GB2312" w:hAnsi="宋体" w:cs="仿宋_GB2312"/>
          <w:sz w:val="28"/>
          <w:szCs w:val="28"/>
        </w:rPr>
        <w:t>15</w:t>
      </w:r>
      <w:r w:rsidRPr="00B4380C">
        <w:rPr>
          <w:rFonts w:ascii="仿宋_GB2312" w:eastAsia="仿宋_GB2312" w:hAnsi="宋体" w:cs="仿宋_GB2312" w:hint="eastAsia"/>
          <w:sz w:val="28"/>
          <w:szCs w:val="28"/>
        </w:rPr>
        <w:t>日起，正式启用平台。</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三、平台功能</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平台集成工程质量安全监管业务信息系统、全国工程质量安全监管数据中心、工作门户以及公共服务门户，供各地免费使用。</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（一）工程质量安全监管业务信息系统。支持各级住房和城乡建设部门与有关部门办理各类房屋建筑和市政基础设施工程质量安全监管业务。</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w:t>
      </w:r>
      <w:r w:rsidRPr="00B4380C">
        <w:rPr>
          <w:rFonts w:ascii="仿宋_GB2312" w:eastAsia="仿宋_GB2312" w:hAnsi="宋体" w:cs="仿宋_GB2312"/>
          <w:sz w:val="28"/>
          <w:szCs w:val="28"/>
        </w:rPr>
        <w:t>1.</w:t>
      </w:r>
      <w:r w:rsidRPr="00B4380C">
        <w:rPr>
          <w:rFonts w:ascii="仿宋_GB2312" w:eastAsia="仿宋_GB2312" w:hAnsi="宋体" w:cs="仿宋_GB2312" w:hint="eastAsia"/>
          <w:sz w:val="28"/>
          <w:szCs w:val="28"/>
        </w:rPr>
        <w:t>建筑施工安全监管信息系统。覆盖建筑施工企业安全生产许可证管理、建筑施工企业安全生产管理人员管理、建筑施工特种作业人员管理、建筑起重机械管理、工程项目安全监督检查、危险性较大的分部分项工程管理、安全生产标准化考评、房屋市政工程施工安全事故查处、施工安全监督机构及人员管理等业务，支持移动终端应用。</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w:t>
      </w:r>
      <w:r w:rsidRPr="00B4380C">
        <w:rPr>
          <w:rFonts w:ascii="仿宋_GB2312" w:eastAsia="仿宋_GB2312" w:hAnsi="宋体" w:cs="仿宋_GB2312"/>
          <w:sz w:val="28"/>
          <w:szCs w:val="28"/>
        </w:rPr>
        <w:t>2.</w:t>
      </w:r>
      <w:r w:rsidRPr="00B4380C">
        <w:rPr>
          <w:rFonts w:ascii="仿宋_GB2312" w:eastAsia="仿宋_GB2312" w:hAnsi="宋体" w:cs="仿宋_GB2312" w:hint="eastAsia"/>
          <w:sz w:val="28"/>
          <w:szCs w:val="28"/>
        </w:rPr>
        <w:t>工程勘察设计质量监管信息系统。覆盖项目施工图审查、施工图审查机构及人员、勘察设计质量不良记录、勘察设计质量抽查等信息管理业务。</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w:t>
      </w:r>
      <w:r w:rsidRPr="00B4380C">
        <w:rPr>
          <w:rFonts w:ascii="仿宋_GB2312" w:eastAsia="仿宋_GB2312" w:hAnsi="宋体" w:cs="仿宋_GB2312"/>
          <w:sz w:val="28"/>
          <w:szCs w:val="28"/>
        </w:rPr>
        <w:t>3.</w:t>
      </w:r>
      <w:r w:rsidRPr="00B4380C">
        <w:rPr>
          <w:rFonts w:ascii="仿宋_GB2312" w:eastAsia="仿宋_GB2312" w:hAnsi="宋体" w:cs="仿宋_GB2312" w:hint="eastAsia"/>
          <w:sz w:val="28"/>
          <w:szCs w:val="28"/>
        </w:rPr>
        <w:t>工程质量监管信息系统。覆盖工程质量监管、工程质量行政处罚、工程质量检测资质、检测机构从业人员、检测机构不良记录、各地优质工程等信息管理业务。</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w:t>
      </w:r>
      <w:r w:rsidRPr="00B4380C">
        <w:rPr>
          <w:rFonts w:ascii="仿宋_GB2312" w:eastAsia="仿宋_GB2312" w:hAnsi="宋体" w:cs="仿宋_GB2312"/>
          <w:sz w:val="28"/>
          <w:szCs w:val="28"/>
        </w:rPr>
        <w:t>4.</w:t>
      </w:r>
      <w:r w:rsidRPr="00B4380C">
        <w:rPr>
          <w:rFonts w:ascii="仿宋_GB2312" w:eastAsia="仿宋_GB2312" w:hAnsi="宋体" w:cs="仿宋_GB2312" w:hint="eastAsia"/>
          <w:sz w:val="28"/>
          <w:szCs w:val="28"/>
        </w:rPr>
        <w:t>城市轨道交通工程质量安全监管信息系统。覆盖轨道交通线路信息管理、监督检查管理、参建企业管理、关键机械设备管理、事故及重大风险管理等业务。</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w:t>
      </w:r>
      <w:r w:rsidRPr="00B4380C">
        <w:rPr>
          <w:rFonts w:ascii="仿宋_GB2312" w:eastAsia="仿宋_GB2312" w:hAnsi="宋体" w:cs="仿宋_GB2312"/>
          <w:sz w:val="28"/>
          <w:szCs w:val="28"/>
        </w:rPr>
        <w:t>5.</w:t>
      </w:r>
      <w:r w:rsidRPr="00B4380C">
        <w:rPr>
          <w:rFonts w:ascii="仿宋_GB2312" w:eastAsia="仿宋_GB2312" w:hAnsi="宋体" w:cs="仿宋_GB2312" w:hint="eastAsia"/>
          <w:sz w:val="28"/>
          <w:szCs w:val="28"/>
        </w:rPr>
        <w:t>工程质量安全监督执法检查信息系统。支持部本级开展全国房屋建筑和市政基础设施工程质量安全监督执法检查工作。</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二）全国工程质量安全监管数据中心。按照统一的共享交换数据标准和技术规范，全面归集全国房屋建筑和市政基础设施工程质量安全监管信息，构建全国工程质量安全监管大数据集合，与各地工程质量安全监管信息系统、住房和城乡建设部数据中心以及国家数据共享交换平台互联互通。</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（三）工作门户。向各级住房和城乡建设部门及有关部门提供文件办理、数据查询、统计分析、可视化展示、事故案例分析、监管人员培训、意见建议征集、舆情监测、法律法规以及事故信息快报等支撑和服务。</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四）公共服务门户。发布房屋建筑和市政基础设施工程质量安全监管领域相关通知公告、行业动态、地方信息、全国工程勘察设计大师、工程质量安全专家委员会、城市轨道交通专家委员会信息以及工程质量安全事故情况，提供工程质量安全监管数据和政策法规查询等服务。</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四、平台用户</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平台用户包含各级住房和城乡建设部门及有关部门房屋建筑和市政基础设施工程质量安全监管人员，工程项目建设各方主体以及相关机构、单位从业人员，社会公众等。</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主管部门监管人员账号采用逐级分配方式创建。其中，地方各级部门管理员账号由上级主管部门创建和分配，其他监管人员账号由同级主管部门管理员分配。有关单位从业人员账号采用注册方式创建。</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五、访问方式</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（一）公共服务门户。社会公众通过住房和城乡建设部门户网站主页“全国工程质量安全监管信息平台公共服务门户”链接，或者直接访问</w:t>
      </w:r>
      <w:r w:rsidRPr="00B4380C">
        <w:rPr>
          <w:rFonts w:ascii="仿宋_GB2312" w:eastAsia="仿宋_GB2312" w:hAnsi="宋体" w:cs="仿宋_GB2312"/>
          <w:sz w:val="28"/>
          <w:szCs w:val="28"/>
        </w:rPr>
        <w:t>zlaq.mohurd.gov.cn</w:t>
      </w:r>
      <w:r w:rsidRPr="00B4380C">
        <w:rPr>
          <w:rFonts w:ascii="仿宋_GB2312" w:eastAsia="仿宋_GB2312" w:hAnsi="宋体" w:cs="仿宋_GB2312" w:hint="eastAsia"/>
          <w:sz w:val="28"/>
          <w:szCs w:val="28"/>
        </w:rPr>
        <w:t>进入平台公共服务门户。</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（二）工作门户。监管人员访问平台公共服务门户，点击“全国工程质量安全监管信息平台入口”链接，通过平台统一登录窗口进入工作门户。</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三）工程质量安全监管业务信息系统。监管人员登录平台工作门户，通过“核心业务信息系统入口”访问相关业务信息系统；从业人员访问平台公共服务门户，点击“全国工程质量安全监管信息平台入口”链接，通过平台统一登录窗口进入相关业务信息系统。</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六、工作职责</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住房和城乡建设部统一负责平台建设和运行维护管理，组织制定全国工程质量安全监管信息化建设相关数据标准、技术规范以及工作制度，督促指导各地做好平台应用和信息共享交换工作。地方各级住房和城乡建设部门及有关部门具体负责平台在本地区推广应用以及信息共享交换等工作。</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七、有关要求</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一）高度重视平台应用。启用平台是推进工程质量安全治理能力现代化的重要举措。各地要切实提高政治站位，加强组织领导，建立统筹推进机制，研究制定配套措施和具体落实方案，加强专业人才队伍建设和培训，确保平台应用和信息共享交换各项工作落到实处。</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二）全面推进监管信息化。具备信息化监管条件的地区，要按照相关标准规范要求建设和完善本地区信息系统，提升信息系统建设标准化、规范化水平。暂不具备信息化监管条件的地区，要应用部级平台办理相关监管业务，实现工程质量安全监管信息化全覆盖。以上工作应于</w:t>
      </w:r>
      <w:r w:rsidRPr="00B4380C">
        <w:rPr>
          <w:rFonts w:ascii="仿宋_GB2312" w:eastAsia="仿宋_GB2312" w:hAnsi="宋体" w:cs="仿宋_GB2312"/>
          <w:sz w:val="28"/>
          <w:szCs w:val="28"/>
        </w:rPr>
        <w:t>2021</w:t>
      </w:r>
      <w:r w:rsidRPr="00B4380C">
        <w:rPr>
          <w:rFonts w:ascii="仿宋_GB2312" w:eastAsia="仿宋_GB2312" w:hAnsi="宋体" w:cs="仿宋_GB2312" w:hint="eastAsia"/>
          <w:sz w:val="28"/>
          <w:szCs w:val="28"/>
        </w:rPr>
        <w:t>年</w:t>
      </w:r>
      <w:r w:rsidRPr="00B4380C">
        <w:rPr>
          <w:rFonts w:ascii="仿宋_GB2312" w:eastAsia="仿宋_GB2312" w:hAnsi="宋体" w:cs="仿宋_GB2312"/>
          <w:sz w:val="28"/>
          <w:szCs w:val="28"/>
        </w:rPr>
        <w:t>9</w:t>
      </w:r>
      <w:r w:rsidRPr="00B4380C">
        <w:rPr>
          <w:rFonts w:ascii="仿宋_GB2312" w:eastAsia="仿宋_GB2312" w:hAnsi="宋体" w:cs="仿宋_GB2312" w:hint="eastAsia"/>
          <w:sz w:val="28"/>
          <w:szCs w:val="28"/>
        </w:rPr>
        <w:t>月底前完成。</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（三）加快推进数据共享。各地要加快推进本地区工程质量安全监管数据中心建设，严格按照《全国建筑施工安全监管信息系统共享交换数据标准（试行）》（建办质〔</w:t>
      </w:r>
      <w:r w:rsidRPr="00B4380C">
        <w:rPr>
          <w:rFonts w:ascii="仿宋_GB2312" w:eastAsia="仿宋_GB2312" w:hAnsi="宋体" w:cs="仿宋_GB2312"/>
          <w:sz w:val="28"/>
          <w:szCs w:val="28"/>
        </w:rPr>
        <w:t>2018</w:t>
      </w:r>
      <w:r w:rsidRPr="00B4380C">
        <w:rPr>
          <w:rFonts w:ascii="仿宋_GB2312" w:eastAsia="仿宋_GB2312" w:hAnsi="宋体" w:cs="仿宋_GB2312" w:hint="eastAsia"/>
          <w:sz w:val="28"/>
          <w:szCs w:val="28"/>
        </w:rPr>
        <w:t>〕</w:t>
      </w:r>
      <w:r w:rsidRPr="00B4380C">
        <w:rPr>
          <w:rFonts w:ascii="仿宋_GB2312" w:eastAsia="仿宋_GB2312" w:hAnsi="宋体" w:cs="仿宋_GB2312"/>
          <w:sz w:val="28"/>
          <w:szCs w:val="28"/>
        </w:rPr>
        <w:t>5</w:t>
      </w:r>
      <w:r w:rsidRPr="00B4380C">
        <w:rPr>
          <w:rFonts w:ascii="仿宋_GB2312" w:eastAsia="仿宋_GB2312" w:hAnsi="宋体" w:cs="仿宋_GB2312" w:hint="eastAsia"/>
          <w:sz w:val="28"/>
          <w:szCs w:val="28"/>
        </w:rPr>
        <w:t>号）、《全国房屋建筑和市政基础设施工程施工图设计文件审查信息系统数据标准（试行）》（建办质〔</w:t>
      </w:r>
      <w:r w:rsidRPr="00B4380C">
        <w:rPr>
          <w:rFonts w:ascii="仿宋_GB2312" w:eastAsia="仿宋_GB2312" w:hAnsi="宋体" w:cs="仿宋_GB2312"/>
          <w:sz w:val="28"/>
          <w:szCs w:val="28"/>
        </w:rPr>
        <w:t>2018</w:t>
      </w:r>
      <w:r w:rsidRPr="00B4380C">
        <w:rPr>
          <w:rFonts w:ascii="仿宋_GB2312" w:eastAsia="仿宋_GB2312" w:hAnsi="宋体" w:cs="仿宋_GB2312" w:hint="eastAsia"/>
          <w:sz w:val="28"/>
          <w:szCs w:val="28"/>
        </w:rPr>
        <w:t>〕</w:t>
      </w:r>
      <w:r w:rsidRPr="00B4380C">
        <w:rPr>
          <w:rFonts w:ascii="仿宋_GB2312" w:eastAsia="仿宋_GB2312" w:hAnsi="宋体" w:cs="仿宋_GB2312"/>
          <w:sz w:val="28"/>
          <w:szCs w:val="28"/>
        </w:rPr>
        <w:t>64</w:t>
      </w:r>
      <w:r w:rsidRPr="00B4380C">
        <w:rPr>
          <w:rFonts w:ascii="仿宋_GB2312" w:eastAsia="仿宋_GB2312" w:hAnsi="宋体" w:cs="仿宋_GB2312" w:hint="eastAsia"/>
          <w:sz w:val="28"/>
          <w:szCs w:val="28"/>
        </w:rPr>
        <w:t>号）和《城市轨道交通工程质量安全监管信息平台共享交换数据标准（试行）》（建办质〔</w:t>
      </w:r>
      <w:r w:rsidRPr="00B4380C">
        <w:rPr>
          <w:rFonts w:ascii="仿宋_GB2312" w:eastAsia="仿宋_GB2312" w:hAnsi="宋体" w:cs="仿宋_GB2312"/>
          <w:sz w:val="28"/>
          <w:szCs w:val="28"/>
        </w:rPr>
        <w:t>2020</w:t>
      </w:r>
      <w:r w:rsidRPr="00B4380C">
        <w:rPr>
          <w:rFonts w:ascii="仿宋_GB2312" w:eastAsia="仿宋_GB2312" w:hAnsi="宋体" w:cs="仿宋_GB2312" w:hint="eastAsia"/>
          <w:sz w:val="28"/>
          <w:szCs w:val="28"/>
        </w:rPr>
        <w:t>〕</w:t>
      </w:r>
      <w:r w:rsidRPr="00B4380C">
        <w:rPr>
          <w:rFonts w:ascii="仿宋_GB2312" w:eastAsia="仿宋_GB2312" w:hAnsi="宋体" w:cs="仿宋_GB2312"/>
          <w:sz w:val="28"/>
          <w:szCs w:val="28"/>
        </w:rPr>
        <w:t>56</w:t>
      </w:r>
      <w:r w:rsidRPr="00B4380C">
        <w:rPr>
          <w:rFonts w:ascii="仿宋_GB2312" w:eastAsia="仿宋_GB2312" w:hAnsi="宋体" w:cs="仿宋_GB2312" w:hint="eastAsia"/>
          <w:sz w:val="28"/>
          <w:szCs w:val="28"/>
        </w:rPr>
        <w:t>号）等标准规范要求</w:t>
      </w:r>
      <w:r w:rsidRPr="00B4380C">
        <w:rPr>
          <w:rFonts w:ascii="仿宋_GB2312" w:eastAsia="仿宋_GB2312" w:hAnsi="宋体" w:cs="仿宋_GB2312"/>
          <w:sz w:val="28"/>
          <w:szCs w:val="28"/>
        </w:rPr>
        <w:t>,</w:t>
      </w:r>
      <w:r w:rsidRPr="00B4380C">
        <w:rPr>
          <w:rFonts w:ascii="仿宋_GB2312" w:eastAsia="仿宋_GB2312" w:hAnsi="宋体" w:cs="仿宋_GB2312" w:hint="eastAsia"/>
          <w:sz w:val="28"/>
          <w:szCs w:val="28"/>
        </w:rPr>
        <w:t>归集本地区房屋建筑和市政基础设施工程质量安全监管信息，并全面、准确、及时共享交换至部级平台。以上工作应于</w:t>
      </w:r>
      <w:r w:rsidRPr="00B4380C">
        <w:rPr>
          <w:rFonts w:ascii="仿宋_GB2312" w:eastAsia="仿宋_GB2312" w:hAnsi="宋体" w:cs="仿宋_GB2312"/>
          <w:sz w:val="28"/>
          <w:szCs w:val="28"/>
        </w:rPr>
        <w:t>2021</w:t>
      </w:r>
      <w:r w:rsidRPr="00B4380C">
        <w:rPr>
          <w:rFonts w:ascii="仿宋_GB2312" w:eastAsia="仿宋_GB2312" w:hAnsi="宋体" w:cs="仿宋_GB2312" w:hint="eastAsia"/>
          <w:sz w:val="28"/>
          <w:szCs w:val="28"/>
        </w:rPr>
        <w:t>年</w:t>
      </w:r>
      <w:r w:rsidRPr="00B4380C">
        <w:rPr>
          <w:rFonts w:ascii="仿宋_GB2312" w:eastAsia="仿宋_GB2312" w:hAnsi="宋体" w:cs="仿宋_GB2312"/>
          <w:sz w:val="28"/>
          <w:szCs w:val="28"/>
        </w:rPr>
        <w:t>9</w:t>
      </w:r>
      <w:r w:rsidRPr="00B4380C">
        <w:rPr>
          <w:rFonts w:ascii="仿宋_GB2312" w:eastAsia="仿宋_GB2312" w:hAnsi="宋体" w:cs="仿宋_GB2312" w:hint="eastAsia"/>
          <w:sz w:val="28"/>
          <w:szCs w:val="28"/>
        </w:rPr>
        <w:t>月底前完成。要做好经费保障，合理安排经费支持工程质量安全数据共享。鼓励各地积极申请使用部级数据中心建设成果，推进在辅助政务决策、支撑政府履职、服务企业和群众等方面的应用。</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四）加强数据质量安全管理。各地要按照“谁提供、谁负责”的原则，对共享数据的真实性和准确性负责，不断提高数据完整性、可用性和时效性。数据提供方要加强数据采集、归集、整合、提供等环节的安全管理，防范数据泄露和被非法获取。数据使用方要加强账号管理，严格控制数据使用范围，防范泄露、滥用、篡改信息等行为。</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五）强化督促指导。各省级住房和城乡建设部门及有关部门要建立本地区工程质量安全监管信息化建设工作机制，加大平台在本地区推广应用以及信息共享交换等工作的监督指导力度，督促有关单位和人员落实工作责任。我部将密切跟踪调度各地信息化建设进展情况。</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八、其他事项</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（一）各省级住房和城乡建设部门及有关部门要明确专人具体负责联络协调本地区平台应用、信息共享交换以及账号分配和管理等工作。请于</w:t>
      </w:r>
      <w:r w:rsidRPr="00B4380C">
        <w:rPr>
          <w:rFonts w:ascii="仿宋_GB2312" w:eastAsia="仿宋_GB2312" w:hAnsi="宋体" w:cs="仿宋_GB2312"/>
          <w:sz w:val="28"/>
          <w:szCs w:val="28"/>
        </w:rPr>
        <w:t>2021</w:t>
      </w:r>
      <w:r w:rsidRPr="00B4380C">
        <w:rPr>
          <w:rFonts w:ascii="仿宋_GB2312" w:eastAsia="仿宋_GB2312" w:hAnsi="宋体" w:cs="仿宋_GB2312" w:hint="eastAsia"/>
          <w:sz w:val="28"/>
          <w:szCs w:val="28"/>
        </w:rPr>
        <w:t>年</w:t>
      </w:r>
      <w:r w:rsidRPr="00B4380C">
        <w:rPr>
          <w:rFonts w:ascii="仿宋_GB2312" w:eastAsia="仿宋_GB2312" w:hAnsi="宋体" w:cs="仿宋_GB2312"/>
          <w:sz w:val="28"/>
          <w:szCs w:val="28"/>
        </w:rPr>
        <w:t>4</w:t>
      </w:r>
      <w:r w:rsidRPr="00B4380C">
        <w:rPr>
          <w:rFonts w:ascii="仿宋_GB2312" w:eastAsia="仿宋_GB2312" w:hAnsi="宋体" w:cs="仿宋_GB2312" w:hint="eastAsia"/>
          <w:sz w:val="28"/>
          <w:szCs w:val="28"/>
        </w:rPr>
        <w:t>月</w:t>
      </w:r>
      <w:r w:rsidRPr="00B4380C">
        <w:rPr>
          <w:rFonts w:ascii="仿宋_GB2312" w:eastAsia="仿宋_GB2312" w:hAnsi="宋体" w:cs="仿宋_GB2312"/>
          <w:sz w:val="28"/>
          <w:szCs w:val="28"/>
        </w:rPr>
        <w:t>23</w:t>
      </w:r>
      <w:r w:rsidRPr="00B4380C">
        <w:rPr>
          <w:rFonts w:ascii="仿宋_GB2312" w:eastAsia="仿宋_GB2312" w:hAnsi="宋体" w:cs="仿宋_GB2312" w:hint="eastAsia"/>
          <w:sz w:val="28"/>
          <w:szCs w:val="28"/>
        </w:rPr>
        <w:t>日前将工作联系人登记表传真至我部工程质量安全监管司（样表及联系方式详见附件</w:t>
      </w:r>
      <w:r w:rsidRPr="00B4380C">
        <w:rPr>
          <w:rFonts w:ascii="仿宋_GB2312" w:eastAsia="仿宋_GB2312" w:hAnsi="宋体" w:cs="仿宋_GB2312"/>
          <w:sz w:val="28"/>
          <w:szCs w:val="28"/>
        </w:rPr>
        <w:t>1</w:t>
      </w:r>
      <w:r w:rsidRPr="00B4380C">
        <w:rPr>
          <w:rFonts w:ascii="仿宋_GB2312" w:eastAsia="仿宋_GB2312" w:hAnsi="宋体" w:cs="仿宋_GB2312" w:hint="eastAsia"/>
          <w:sz w:val="28"/>
          <w:szCs w:val="28"/>
        </w:rPr>
        <w:t>），我部将及时向工作联系人提供账户信息。</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（二）我部将择期开展培训工作，指导各地住房和城乡建设部门及有关部门监管人员、相关单位从业人员准确掌握平台使用方法，推动平台应用、信息共享交换以及账号分配和管理等工作顺利实施。</w:t>
      </w:r>
    </w:p>
    <w:p w:rsidR="0046336B" w:rsidRPr="00B4380C" w:rsidRDefault="0046336B" w:rsidP="00934244">
      <w:pPr>
        <w:spacing w:line="510" w:lineRule="exact"/>
        <w:rPr>
          <w:rFonts w:ascii="仿宋_GB2312" w:eastAsia="仿宋_GB2312" w:hAnsi="宋体"/>
          <w:sz w:val="28"/>
          <w:szCs w:val="28"/>
        </w:rPr>
      </w:pPr>
      <w:r w:rsidRPr="00B4380C">
        <w:rPr>
          <w:rFonts w:ascii="仿宋_GB2312" w:eastAsia="仿宋_GB2312" w:hAnsi="宋体" w:cs="仿宋_GB2312" w:hint="eastAsia"/>
          <w:sz w:val="28"/>
          <w:szCs w:val="28"/>
        </w:rPr>
        <w:t xml:space="preserve">　　（三）启用平台各项具体事宜以及试用意见建议可联系我部相关工作人员（人员名单及分工详见附件</w:t>
      </w:r>
      <w:r w:rsidRPr="00B4380C">
        <w:rPr>
          <w:rFonts w:ascii="仿宋_GB2312" w:eastAsia="仿宋_GB2312" w:hAnsi="宋体" w:cs="仿宋_GB2312"/>
          <w:sz w:val="28"/>
          <w:szCs w:val="28"/>
        </w:rPr>
        <w:t>2</w:t>
      </w:r>
      <w:r w:rsidRPr="00B4380C">
        <w:rPr>
          <w:rFonts w:ascii="仿宋_GB2312" w:eastAsia="仿宋_GB2312" w:hAnsi="宋体" w:cs="仿宋_GB2312" w:hint="eastAsia"/>
          <w:sz w:val="28"/>
          <w:szCs w:val="28"/>
        </w:rPr>
        <w:t>）进行咨询，技术问题请致电平台技术支持电话</w:t>
      </w:r>
      <w:r w:rsidRPr="00B4380C">
        <w:rPr>
          <w:rFonts w:ascii="仿宋_GB2312" w:eastAsia="仿宋_GB2312" w:hAnsi="宋体" w:cs="仿宋_GB2312"/>
          <w:sz w:val="28"/>
          <w:szCs w:val="28"/>
        </w:rPr>
        <w:t>010-58934541/4542</w:t>
      </w:r>
      <w:r w:rsidRPr="00B4380C">
        <w:rPr>
          <w:rFonts w:ascii="仿宋_GB2312" w:eastAsia="仿宋_GB2312" w:hAnsi="宋体" w:cs="仿宋_GB2312" w:hint="eastAsia"/>
          <w:sz w:val="28"/>
          <w:szCs w:val="28"/>
        </w:rPr>
        <w:t>进行咨询。</w:t>
      </w:r>
    </w:p>
    <w:p w:rsidR="0046336B" w:rsidRPr="00B4380C" w:rsidRDefault="0046336B" w:rsidP="00934244">
      <w:pPr>
        <w:spacing w:line="510" w:lineRule="exact"/>
        <w:jc w:val="right"/>
        <w:rPr>
          <w:rFonts w:ascii="仿宋_GB2312" w:eastAsia="仿宋_GB2312" w:hAnsi="宋体"/>
          <w:sz w:val="28"/>
          <w:szCs w:val="28"/>
        </w:rPr>
      </w:pPr>
      <w:r w:rsidRPr="00B4380C">
        <w:rPr>
          <w:rFonts w:ascii="仿宋_GB2312" w:eastAsia="仿宋_GB2312" w:hAnsi="宋体" w:cs="仿宋_GB2312" w:hint="eastAsia"/>
          <w:sz w:val="28"/>
          <w:szCs w:val="28"/>
        </w:rPr>
        <w:t xml:space="preserve">　住房和城乡建设部办公厅</w:t>
      </w:r>
    </w:p>
    <w:p w:rsidR="0046336B" w:rsidRPr="00B4380C" w:rsidRDefault="0046336B" w:rsidP="00934244">
      <w:pPr>
        <w:spacing w:line="510" w:lineRule="exact"/>
        <w:ind w:firstLine="570"/>
        <w:jc w:val="right"/>
        <w:rPr>
          <w:rFonts w:ascii="仿宋_GB2312" w:eastAsia="仿宋_GB2312" w:hAnsi="宋体"/>
          <w:sz w:val="28"/>
          <w:szCs w:val="28"/>
        </w:rPr>
      </w:pPr>
      <w:r w:rsidRPr="00B4380C">
        <w:rPr>
          <w:rFonts w:ascii="仿宋_GB2312" w:eastAsia="仿宋_GB2312" w:hAnsi="宋体" w:cs="仿宋_GB2312"/>
          <w:sz w:val="28"/>
          <w:szCs w:val="28"/>
        </w:rPr>
        <w:t>2021</w:t>
      </w:r>
      <w:r w:rsidRPr="00B4380C">
        <w:rPr>
          <w:rFonts w:ascii="仿宋_GB2312" w:eastAsia="仿宋_GB2312" w:hAnsi="宋体" w:cs="仿宋_GB2312" w:hint="eastAsia"/>
          <w:sz w:val="28"/>
          <w:szCs w:val="28"/>
        </w:rPr>
        <w:t>年</w:t>
      </w:r>
      <w:r w:rsidRPr="00B4380C">
        <w:rPr>
          <w:rFonts w:ascii="仿宋_GB2312" w:eastAsia="仿宋_GB2312" w:hAnsi="宋体" w:cs="仿宋_GB2312"/>
          <w:sz w:val="28"/>
          <w:szCs w:val="28"/>
        </w:rPr>
        <w:t>4</w:t>
      </w:r>
      <w:r w:rsidRPr="00B4380C">
        <w:rPr>
          <w:rFonts w:ascii="仿宋_GB2312" w:eastAsia="仿宋_GB2312" w:hAnsi="宋体" w:cs="仿宋_GB2312" w:hint="eastAsia"/>
          <w:sz w:val="28"/>
          <w:szCs w:val="28"/>
        </w:rPr>
        <w:t>月</w:t>
      </w:r>
      <w:r w:rsidRPr="00B4380C">
        <w:rPr>
          <w:rFonts w:ascii="仿宋_GB2312" w:eastAsia="仿宋_GB2312" w:hAnsi="宋体" w:cs="仿宋_GB2312"/>
          <w:sz w:val="28"/>
          <w:szCs w:val="28"/>
        </w:rPr>
        <w:t>9</w:t>
      </w:r>
      <w:r w:rsidRPr="00B4380C">
        <w:rPr>
          <w:rFonts w:ascii="仿宋_GB2312" w:eastAsia="仿宋_GB2312" w:hAnsi="宋体" w:cs="仿宋_GB2312" w:hint="eastAsia"/>
          <w:sz w:val="28"/>
          <w:szCs w:val="28"/>
        </w:rPr>
        <w:t>日</w:t>
      </w:r>
    </w:p>
    <w:p w:rsidR="0046336B" w:rsidRDefault="0046336B" w:rsidP="00FE3792">
      <w:pPr>
        <w:pStyle w:val="Heading3"/>
        <w:widowControl w:val="0"/>
        <w:snapToGrid w:val="0"/>
        <w:spacing w:line="240" w:lineRule="atLeast"/>
        <w:rPr>
          <w:rFonts w:cs="Times New Roman"/>
        </w:rPr>
      </w:pPr>
    </w:p>
    <w:p w:rsidR="0046336B" w:rsidRDefault="0046336B" w:rsidP="00FE3792">
      <w:pPr>
        <w:pStyle w:val="Heading3"/>
        <w:widowControl w:val="0"/>
        <w:snapToGrid w:val="0"/>
        <w:spacing w:line="240" w:lineRule="atLeast"/>
        <w:rPr>
          <w:rFonts w:cs="Times New Roman"/>
        </w:rPr>
      </w:pPr>
      <w:r>
        <w:rPr>
          <w:rFonts w:cs="黑体" w:hint="eastAsia"/>
        </w:rPr>
        <w:t>【公示公告】</w:t>
      </w:r>
    </w:p>
    <w:p w:rsidR="0046336B" w:rsidRDefault="0046336B">
      <w:pPr>
        <w:snapToGrid w:val="0"/>
        <w:spacing w:line="240" w:lineRule="atLeast"/>
        <w:jc w:val="center"/>
        <w:rPr>
          <w:rFonts w:ascii="黑体" w:eastAsia="黑体"/>
          <w:b/>
          <w:bCs/>
          <w:color w:val="000000"/>
          <w:sz w:val="32"/>
          <w:szCs w:val="32"/>
        </w:rPr>
      </w:pPr>
    </w:p>
    <w:p w:rsidR="0046336B" w:rsidRDefault="0046336B">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2021</w:t>
      </w:r>
      <w:r>
        <w:rPr>
          <w:rFonts w:ascii="黑体" w:eastAsia="黑体" w:cs="黑体" w:hint="eastAsia"/>
          <w:b/>
          <w:bCs/>
          <w:color w:val="000000"/>
          <w:sz w:val="32"/>
          <w:szCs w:val="32"/>
        </w:rPr>
        <w:t>年</w:t>
      </w:r>
      <w:r>
        <w:rPr>
          <w:rFonts w:ascii="黑体" w:eastAsia="黑体" w:cs="黑体"/>
          <w:b/>
          <w:bCs/>
          <w:color w:val="000000"/>
          <w:sz w:val="32"/>
          <w:szCs w:val="32"/>
        </w:rPr>
        <w:t>4</w:t>
      </w:r>
      <w:r>
        <w:rPr>
          <w:rFonts w:ascii="黑体" w:eastAsia="黑体" w:cs="黑体" w:hint="eastAsia"/>
          <w:b/>
          <w:bCs/>
          <w:color w:val="000000"/>
          <w:sz w:val="32"/>
          <w:szCs w:val="32"/>
        </w:rPr>
        <w:t>月份资质受理情况</w:t>
      </w:r>
    </w:p>
    <w:p w:rsidR="0046336B" w:rsidRDefault="0046336B">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:33</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46336B">
        <w:trPr>
          <w:trHeight w:val="221"/>
          <w:jc w:val="center"/>
        </w:trPr>
        <w:tc>
          <w:tcPr>
            <w:tcW w:w="1368" w:type="dxa"/>
            <w:vAlign w:val="center"/>
          </w:tcPr>
          <w:p w:rsidR="0046336B" w:rsidRDefault="0046336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46336B" w:rsidRDefault="0046336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46336B" w:rsidRDefault="0046336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2021-4-12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上海吾栖市政建筑工程有限公司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市政公用工程三级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2021-4-12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中鼎工程设计有限公司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上海谷响建设工程有限公司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通信工程三级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上海浦坚机电设备安装工程有限公司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上海忆昔建筑工程有限公司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上海数得建筑科技有限公司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钢结构工程三级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上海真律建筑工程有限公司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防水防腐保温工程二级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上海锦宸建筑劳务有限公司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施工劳务企业资质不分级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上海健乾建筑工程有限公司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市政公用工程三级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上海钛安金属制品有限公司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钢结构工程三级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上海辰歆建设工程有限公司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上海伟晶水处理工程有限公司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建筑机电安装工程三级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上海驹鑫建筑工程有限公司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钢结构工程三级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上海渡吉建设工程有限公司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上海绘城工程科技有限公司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依阳建筑设计（上海）有限公司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上海从南建筑工程有限公司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施工劳务企业资质不分级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上海冀庭建筑工程有限公司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上海天戎建筑装饰设计有限公司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上海钦洲建设工程有限公司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建筑幕墙工程二级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上海想瀛建筑工程有限公司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防水防腐保温工程二级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上海美家美沪装饰科技有限公司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上海敏汪建筑装饰工程有限公司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上海咏恩建筑工程有限公司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施工劳务企业资质不分级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昂顿科技（上海）有限公司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机电工程三级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上海哲海壹天电子系统工程有限公司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电子和智能化工程二级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上海芝雪建筑装饰工程有限公司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消防设施工程二级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上海冠一建筑装饰工程有限公司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上海四创钢结构有限公司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钢结构工程三级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上海栩甜建设工程有限公司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上海六知实业有限公司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建筑机电安装工程三级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上海绩申建设工程有限公司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建筑工程三级</w:t>
            </w:r>
          </w:p>
        </w:tc>
      </w:tr>
      <w:tr w:rsidR="0046336B">
        <w:trPr>
          <w:trHeight w:hRule="exact" w:val="397"/>
          <w:jc w:val="center"/>
        </w:trPr>
        <w:tc>
          <w:tcPr>
            <w:tcW w:w="1368"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上海钰峪建筑工程有限公司</w:t>
            </w:r>
          </w:p>
        </w:tc>
        <w:tc>
          <w:tcPr>
            <w:tcW w:w="3453" w:type="dxa"/>
            <w:vAlign w:val="center"/>
          </w:tcPr>
          <w:p w:rsidR="0046336B" w:rsidRPr="00EC571D" w:rsidRDefault="0046336B" w:rsidP="00EC571D">
            <w:pPr>
              <w:jc w:val="center"/>
              <w:rPr>
                <w:rFonts w:ascii="仿宋_GB2312" w:eastAsia="仿宋_GB2312" w:hAnsi="仿宋_GB2312"/>
              </w:rPr>
            </w:pPr>
            <w:r w:rsidRPr="00EC571D">
              <w:rPr>
                <w:rFonts w:ascii="仿宋_GB2312" w:eastAsia="仿宋_GB2312" w:hAnsi="仿宋_GB2312" w:cs="仿宋_GB2312" w:hint="eastAsia"/>
              </w:rPr>
              <w:t>建筑工程三级</w:t>
            </w:r>
          </w:p>
        </w:tc>
      </w:tr>
    </w:tbl>
    <w:p w:rsidR="0046336B" w:rsidRDefault="0046336B">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:5</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46336B">
        <w:trPr>
          <w:trHeight w:val="221"/>
        </w:trPr>
        <w:tc>
          <w:tcPr>
            <w:tcW w:w="1368" w:type="dxa"/>
            <w:vAlign w:val="center"/>
          </w:tcPr>
          <w:p w:rsidR="0046336B" w:rsidRDefault="0046336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46336B" w:rsidRDefault="0046336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46336B" w:rsidRDefault="0046336B">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r w:rsidRPr="00EC571D">
              <w:rPr>
                <w:rFonts w:ascii="仿宋_GB2312" w:eastAsia="仿宋_GB2312" w:hAnsi="仿宋_GB2312" w:cs="仿宋_GB2312"/>
              </w:rPr>
              <w:t>2021-4-12</w:t>
            </w:r>
          </w:p>
        </w:tc>
        <w:tc>
          <w:tcPr>
            <w:tcW w:w="4200"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上海熙瀚工程技术有限公司</w:t>
            </w: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市政公用工程三级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p>
        </w:tc>
        <w:tc>
          <w:tcPr>
            <w:tcW w:w="4200" w:type="dxa"/>
            <w:vAlign w:val="center"/>
          </w:tcPr>
          <w:p w:rsidR="0046336B" w:rsidRPr="00EC571D" w:rsidRDefault="0046336B">
            <w:pPr>
              <w:rPr>
                <w:rFonts w:ascii="仿宋_GB2312" w:eastAsia="仿宋_GB2312" w:hAnsi="仿宋_GB2312"/>
              </w:rPr>
            </w:pP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建筑工程三级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p>
        </w:tc>
        <w:tc>
          <w:tcPr>
            <w:tcW w:w="4200" w:type="dxa"/>
            <w:vAlign w:val="center"/>
          </w:tcPr>
          <w:p w:rsidR="0046336B" w:rsidRPr="00EC571D" w:rsidRDefault="0046336B">
            <w:pPr>
              <w:rPr>
                <w:rFonts w:ascii="仿宋_GB2312" w:eastAsia="仿宋_GB2312" w:hAnsi="仿宋_GB2312"/>
              </w:rPr>
            </w:pP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城市及道路照明工程三级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p>
        </w:tc>
        <w:tc>
          <w:tcPr>
            <w:tcW w:w="4200" w:type="dxa"/>
            <w:vAlign w:val="center"/>
          </w:tcPr>
          <w:p w:rsidR="0046336B" w:rsidRPr="00EC571D" w:rsidRDefault="0046336B">
            <w:pPr>
              <w:rPr>
                <w:rFonts w:ascii="仿宋_GB2312" w:eastAsia="仿宋_GB2312" w:hAnsi="仿宋_GB2312"/>
              </w:rPr>
            </w:pP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r w:rsidRPr="00EC571D">
              <w:rPr>
                <w:rFonts w:ascii="仿宋_GB2312" w:eastAsia="仿宋_GB2312" w:hAnsi="仿宋_GB2312" w:cs="仿宋_GB2312"/>
              </w:rPr>
              <w:t>2021-4-12</w:t>
            </w:r>
          </w:p>
        </w:tc>
        <w:tc>
          <w:tcPr>
            <w:tcW w:w="4200"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上海艺迈实业有限公司</w:t>
            </w: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机电工程三级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p>
        </w:tc>
        <w:tc>
          <w:tcPr>
            <w:tcW w:w="4200" w:type="dxa"/>
            <w:vAlign w:val="center"/>
          </w:tcPr>
          <w:p w:rsidR="0046336B" w:rsidRPr="00EC571D" w:rsidRDefault="0046336B">
            <w:pPr>
              <w:rPr>
                <w:rFonts w:ascii="仿宋_GB2312" w:eastAsia="仿宋_GB2312" w:hAnsi="仿宋_GB2312"/>
              </w:rPr>
            </w:pP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建筑工程三级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p>
        </w:tc>
        <w:tc>
          <w:tcPr>
            <w:tcW w:w="4200" w:type="dxa"/>
            <w:vAlign w:val="center"/>
          </w:tcPr>
          <w:p w:rsidR="0046336B" w:rsidRPr="00EC571D" w:rsidRDefault="0046336B">
            <w:pPr>
              <w:rPr>
                <w:rFonts w:ascii="仿宋_GB2312" w:eastAsia="仿宋_GB2312" w:hAnsi="仿宋_GB2312"/>
              </w:rPr>
            </w:pP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环保工程三级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p>
        </w:tc>
        <w:tc>
          <w:tcPr>
            <w:tcW w:w="4200" w:type="dxa"/>
            <w:vAlign w:val="center"/>
          </w:tcPr>
          <w:p w:rsidR="0046336B" w:rsidRPr="00EC571D" w:rsidRDefault="0046336B">
            <w:pPr>
              <w:rPr>
                <w:rFonts w:ascii="仿宋_GB2312" w:eastAsia="仿宋_GB2312" w:hAnsi="仿宋_GB2312"/>
              </w:rPr>
            </w:pP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电子和智能化工程二级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上海成恩建筑劳务有限公司</w:t>
            </w: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模板脚手架工程不分级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p>
        </w:tc>
        <w:tc>
          <w:tcPr>
            <w:tcW w:w="4200" w:type="dxa"/>
            <w:vAlign w:val="center"/>
          </w:tcPr>
          <w:p w:rsidR="0046336B" w:rsidRPr="00EC571D" w:rsidRDefault="0046336B">
            <w:pPr>
              <w:rPr>
                <w:rFonts w:ascii="仿宋_GB2312" w:eastAsia="仿宋_GB2312" w:hAnsi="仿宋_GB2312"/>
              </w:rPr>
            </w:pP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防水防腐保温工程二级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上海桐陆建设有限公司</w:t>
            </w: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建筑工程三级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p>
        </w:tc>
        <w:tc>
          <w:tcPr>
            <w:tcW w:w="4200" w:type="dxa"/>
            <w:vAlign w:val="center"/>
          </w:tcPr>
          <w:p w:rsidR="0046336B" w:rsidRPr="00EC571D" w:rsidRDefault="0046336B">
            <w:pPr>
              <w:rPr>
                <w:rFonts w:ascii="仿宋_GB2312" w:eastAsia="仿宋_GB2312" w:hAnsi="仿宋_GB2312"/>
              </w:rPr>
            </w:pP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建筑装修装饰工程二级</w:t>
            </w:r>
          </w:p>
        </w:tc>
      </w:tr>
      <w:tr w:rsidR="0046336B">
        <w:trPr>
          <w:trHeight w:hRule="exact" w:val="397"/>
        </w:trPr>
        <w:tc>
          <w:tcPr>
            <w:tcW w:w="1368" w:type="dxa"/>
            <w:vAlign w:val="center"/>
          </w:tcPr>
          <w:p w:rsidR="0046336B" w:rsidRPr="00EC571D" w:rsidRDefault="0046336B">
            <w:pPr>
              <w:jc w:val="center"/>
              <w:rPr>
                <w:rFonts w:ascii="仿宋_GB2312" w:eastAsia="仿宋_GB2312" w:hAnsi="仿宋_GB2312"/>
              </w:rPr>
            </w:pPr>
            <w:r w:rsidRPr="00EC571D">
              <w:rPr>
                <w:rFonts w:ascii="仿宋_GB2312" w:eastAsia="仿宋_GB2312" w:hAnsi="仿宋_GB2312" w:cs="仿宋_GB2312"/>
              </w:rPr>
              <w:t>2021-4-22</w:t>
            </w:r>
          </w:p>
        </w:tc>
        <w:tc>
          <w:tcPr>
            <w:tcW w:w="4200"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上海锦钢建筑工程装饰有限公司</w:t>
            </w:r>
          </w:p>
        </w:tc>
        <w:tc>
          <w:tcPr>
            <w:tcW w:w="3453" w:type="dxa"/>
            <w:vAlign w:val="center"/>
          </w:tcPr>
          <w:p w:rsidR="0046336B" w:rsidRPr="00EC571D" w:rsidRDefault="0046336B">
            <w:pPr>
              <w:rPr>
                <w:rFonts w:ascii="仿宋_GB2312" w:eastAsia="仿宋_GB2312" w:hAnsi="仿宋_GB2312"/>
              </w:rPr>
            </w:pPr>
            <w:r w:rsidRPr="00EC571D">
              <w:rPr>
                <w:rFonts w:ascii="仿宋_GB2312" w:eastAsia="仿宋_GB2312" w:hAnsi="仿宋_GB2312" w:cs="仿宋_GB2312" w:hint="eastAsia"/>
              </w:rPr>
              <w:t>地基基础工程三级</w:t>
            </w:r>
          </w:p>
        </w:tc>
      </w:tr>
    </w:tbl>
    <w:p w:rsidR="0046336B" w:rsidRDefault="0046336B">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46336B">
        <w:trPr>
          <w:trHeight w:val="220"/>
        </w:trPr>
        <w:tc>
          <w:tcPr>
            <w:tcW w:w="1368" w:type="dxa"/>
            <w:vAlign w:val="center"/>
          </w:tcPr>
          <w:p w:rsidR="0046336B" w:rsidRDefault="0046336B">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46336B" w:rsidRDefault="0046336B">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46336B" w:rsidRDefault="0046336B">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46336B">
        <w:trPr>
          <w:trHeight w:val="397"/>
        </w:trPr>
        <w:tc>
          <w:tcPr>
            <w:tcW w:w="1368" w:type="dxa"/>
            <w:vAlign w:val="center"/>
          </w:tcPr>
          <w:p w:rsidR="0046336B" w:rsidRDefault="0046336B">
            <w:pPr>
              <w:spacing w:line="240" w:lineRule="atLeast"/>
              <w:jc w:val="center"/>
              <w:rPr>
                <w:rFonts w:ascii="仿宋_GB2312" w:eastAsia="仿宋_GB2312"/>
              </w:rPr>
            </w:pPr>
          </w:p>
        </w:tc>
        <w:tc>
          <w:tcPr>
            <w:tcW w:w="4200" w:type="dxa"/>
            <w:vAlign w:val="center"/>
          </w:tcPr>
          <w:p w:rsidR="0046336B" w:rsidRDefault="0046336B">
            <w:pPr>
              <w:spacing w:line="240" w:lineRule="atLeast"/>
              <w:jc w:val="center"/>
              <w:rPr>
                <w:rFonts w:ascii="仿宋_GB2312" w:eastAsia="仿宋_GB2312"/>
              </w:rPr>
            </w:pPr>
          </w:p>
        </w:tc>
        <w:tc>
          <w:tcPr>
            <w:tcW w:w="3453" w:type="dxa"/>
            <w:vAlign w:val="center"/>
          </w:tcPr>
          <w:p w:rsidR="0046336B" w:rsidRDefault="0046336B">
            <w:pPr>
              <w:spacing w:line="240" w:lineRule="atLeast"/>
              <w:jc w:val="center"/>
              <w:rPr>
                <w:rFonts w:ascii="仿宋_GB2312" w:eastAsia="仿宋_GB2312"/>
              </w:rPr>
            </w:pPr>
          </w:p>
        </w:tc>
      </w:tr>
    </w:tbl>
    <w:p w:rsidR="0046336B" w:rsidRDefault="0046336B">
      <w:pPr>
        <w:snapToGrid w:val="0"/>
        <w:spacing w:line="240" w:lineRule="atLeast"/>
        <w:rPr>
          <w:rFonts w:ascii="黑体" w:eastAsia="黑体"/>
          <w:b/>
          <w:bCs/>
          <w:sz w:val="32"/>
          <w:szCs w:val="32"/>
        </w:rPr>
        <w:sectPr w:rsidR="0046336B">
          <w:headerReference w:type="default" r:id="rId7"/>
          <w:footerReference w:type="default" r:id="rId8"/>
          <w:pgSz w:w="11906" w:h="16838"/>
          <w:pgMar w:top="1440" w:right="1304" w:bottom="1440" w:left="1797" w:header="851" w:footer="992" w:gutter="0"/>
          <w:cols w:space="425"/>
          <w:docGrid w:linePitch="312"/>
        </w:sectPr>
      </w:pPr>
    </w:p>
    <w:p w:rsidR="0046336B" w:rsidRDefault="0046336B" w:rsidP="00AD0EB9">
      <w:pPr>
        <w:snapToGrid w:val="0"/>
        <w:spacing w:line="240" w:lineRule="atLeast"/>
        <w:jc w:val="center"/>
        <w:rPr>
          <w:rFonts w:ascii="黑体" w:eastAsia="黑体"/>
          <w:b/>
          <w:bCs/>
          <w:sz w:val="32"/>
          <w:szCs w:val="32"/>
        </w:rPr>
      </w:pPr>
      <w:r>
        <w:rPr>
          <w:rFonts w:ascii="黑体" w:eastAsia="黑体" w:cs="黑体"/>
          <w:b/>
          <w:bCs/>
          <w:sz w:val="32"/>
          <w:szCs w:val="32"/>
        </w:rPr>
        <w:t>2021</w:t>
      </w:r>
      <w:r>
        <w:rPr>
          <w:rFonts w:ascii="黑体" w:eastAsia="黑体" w:cs="黑体" w:hint="eastAsia"/>
          <w:b/>
          <w:bCs/>
          <w:sz w:val="32"/>
          <w:szCs w:val="32"/>
        </w:rPr>
        <w:t>年</w:t>
      </w:r>
      <w:r>
        <w:rPr>
          <w:rFonts w:ascii="黑体" w:eastAsia="黑体" w:cs="黑体"/>
          <w:b/>
          <w:bCs/>
          <w:sz w:val="32"/>
          <w:szCs w:val="32"/>
        </w:rPr>
        <w:t>4</w:t>
      </w:r>
      <w:r>
        <w:rPr>
          <w:rFonts w:ascii="黑体" w:eastAsia="黑体" w:cs="黑体" w:hint="eastAsia"/>
          <w:b/>
          <w:bCs/>
          <w:sz w:val="32"/>
          <w:szCs w:val="32"/>
        </w:rPr>
        <w:t>月金山区建设工程施工招投标项目清单</w:t>
      </w:r>
    </w:p>
    <w:tbl>
      <w:tblPr>
        <w:tblW w:w="14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271"/>
        <w:gridCol w:w="1059"/>
        <w:gridCol w:w="2615"/>
        <w:gridCol w:w="3864"/>
        <w:gridCol w:w="2084"/>
        <w:gridCol w:w="1267"/>
        <w:gridCol w:w="1162"/>
        <w:gridCol w:w="704"/>
      </w:tblGrid>
      <w:tr w:rsidR="0046336B">
        <w:trPr>
          <w:trHeight w:hRule="exact" w:val="624"/>
          <w:jc w:val="center"/>
        </w:trPr>
        <w:tc>
          <w:tcPr>
            <w:tcW w:w="468" w:type="dxa"/>
            <w:vAlign w:val="center"/>
          </w:tcPr>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1271" w:type="dxa"/>
            <w:vAlign w:val="center"/>
          </w:tcPr>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1059" w:type="dxa"/>
            <w:vAlign w:val="center"/>
          </w:tcPr>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2615" w:type="dxa"/>
            <w:vAlign w:val="center"/>
          </w:tcPr>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3864" w:type="dxa"/>
            <w:vAlign w:val="center"/>
          </w:tcPr>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084" w:type="dxa"/>
            <w:vAlign w:val="center"/>
          </w:tcPr>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267" w:type="dxa"/>
            <w:vAlign w:val="center"/>
          </w:tcPr>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1162" w:type="dxa"/>
            <w:vAlign w:val="center"/>
          </w:tcPr>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704" w:type="dxa"/>
            <w:vAlign w:val="center"/>
          </w:tcPr>
          <w:p w:rsidR="0046336B" w:rsidRDefault="0046336B">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46336B">
        <w:trPr>
          <w:trHeight w:hRule="exact" w:val="624"/>
          <w:jc w:val="center"/>
        </w:trPr>
        <w:tc>
          <w:tcPr>
            <w:tcW w:w="468"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1</w:t>
            </w:r>
          </w:p>
        </w:tc>
        <w:tc>
          <w:tcPr>
            <w:tcW w:w="1271"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2102JS0025</w:t>
            </w:r>
          </w:p>
        </w:tc>
        <w:tc>
          <w:tcPr>
            <w:tcW w:w="1059"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C01</w:t>
            </w:r>
          </w:p>
        </w:tc>
        <w:tc>
          <w:tcPr>
            <w:tcW w:w="2615"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上海市金山区廊下镇人民政府</w:t>
            </w:r>
          </w:p>
        </w:tc>
        <w:tc>
          <w:tcPr>
            <w:tcW w:w="386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廊下镇景阳村水环境综合整治示范工程</w:t>
            </w:r>
          </w:p>
        </w:tc>
        <w:tc>
          <w:tcPr>
            <w:tcW w:w="208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上海水工建设工程有限公司</w:t>
            </w:r>
          </w:p>
        </w:tc>
        <w:tc>
          <w:tcPr>
            <w:tcW w:w="1267"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449.2027</w:t>
            </w:r>
          </w:p>
        </w:tc>
        <w:tc>
          <w:tcPr>
            <w:tcW w:w="1162"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0</w:t>
            </w:r>
          </w:p>
        </w:tc>
        <w:tc>
          <w:tcPr>
            <w:tcW w:w="70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公开招标</w:t>
            </w:r>
            <w:r w:rsidRPr="00AD0EB9">
              <w:rPr>
                <w:rFonts w:ascii="仿宋_GB2312" w:eastAsia="仿宋_GB2312" w:hAnsi="仿宋_GB2312" w:cs="仿宋_GB2312"/>
              </w:rPr>
              <w:t xml:space="preserve"> </w:t>
            </w:r>
          </w:p>
        </w:tc>
      </w:tr>
      <w:tr w:rsidR="0046336B">
        <w:trPr>
          <w:trHeight w:hRule="exact" w:val="976"/>
          <w:jc w:val="center"/>
        </w:trPr>
        <w:tc>
          <w:tcPr>
            <w:tcW w:w="468"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w:t>
            </w:r>
          </w:p>
        </w:tc>
        <w:tc>
          <w:tcPr>
            <w:tcW w:w="1271"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2102JS0021</w:t>
            </w:r>
          </w:p>
        </w:tc>
        <w:tc>
          <w:tcPr>
            <w:tcW w:w="1059"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C01</w:t>
            </w:r>
          </w:p>
        </w:tc>
        <w:tc>
          <w:tcPr>
            <w:tcW w:w="2615"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上海市金山区吕巷镇社区卫生服务中心（上海市金山区吕巷镇卫生院）</w:t>
            </w:r>
            <w:r w:rsidRPr="00AD0EB9">
              <w:rPr>
                <w:rFonts w:ascii="仿宋_GB2312" w:eastAsia="仿宋_GB2312" w:hAnsi="仿宋_GB2312" w:cs="仿宋_GB2312"/>
              </w:rPr>
              <w:t xml:space="preserve"> </w:t>
            </w:r>
          </w:p>
        </w:tc>
        <w:tc>
          <w:tcPr>
            <w:tcW w:w="386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吕巷镇社区卫生服务中心干巷分中心发热门诊加固修缮工程</w:t>
            </w:r>
          </w:p>
        </w:tc>
        <w:tc>
          <w:tcPr>
            <w:tcW w:w="208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金工建设集团股份有限公司</w:t>
            </w:r>
          </w:p>
        </w:tc>
        <w:tc>
          <w:tcPr>
            <w:tcW w:w="1267"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451.6575</w:t>
            </w:r>
          </w:p>
        </w:tc>
        <w:tc>
          <w:tcPr>
            <w:tcW w:w="1162"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0</w:t>
            </w:r>
          </w:p>
        </w:tc>
        <w:tc>
          <w:tcPr>
            <w:tcW w:w="70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公开招标</w:t>
            </w:r>
            <w:r w:rsidRPr="00AD0EB9">
              <w:rPr>
                <w:rFonts w:ascii="仿宋_GB2312" w:eastAsia="仿宋_GB2312" w:hAnsi="仿宋_GB2312" w:cs="仿宋_GB2312"/>
              </w:rPr>
              <w:t xml:space="preserve"> </w:t>
            </w:r>
          </w:p>
        </w:tc>
      </w:tr>
      <w:tr w:rsidR="0046336B">
        <w:trPr>
          <w:trHeight w:hRule="exact" w:val="1128"/>
          <w:jc w:val="center"/>
        </w:trPr>
        <w:tc>
          <w:tcPr>
            <w:tcW w:w="468"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3</w:t>
            </w:r>
          </w:p>
        </w:tc>
        <w:tc>
          <w:tcPr>
            <w:tcW w:w="1271"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2002JS0317</w:t>
            </w:r>
          </w:p>
        </w:tc>
        <w:tc>
          <w:tcPr>
            <w:tcW w:w="1059"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C01</w:t>
            </w:r>
          </w:p>
        </w:tc>
        <w:tc>
          <w:tcPr>
            <w:tcW w:w="2615"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复旦大学附属金山医院</w:t>
            </w:r>
            <w:r w:rsidRPr="00AD0EB9">
              <w:rPr>
                <w:rFonts w:ascii="仿宋_GB2312" w:eastAsia="仿宋_GB2312" w:hAnsi="仿宋_GB2312" w:cs="仿宋_GB2312"/>
              </w:rPr>
              <w:t>(</w:t>
            </w:r>
            <w:r w:rsidRPr="00AD0EB9">
              <w:rPr>
                <w:rFonts w:ascii="仿宋_GB2312" w:eastAsia="仿宋_GB2312" w:hAnsi="仿宋_GB2312" w:cs="仿宋_GB2312" w:hint="eastAsia"/>
              </w:rPr>
              <w:t>上海市金山区眼病防治所、上海市金山区核化伤害应急救治中心</w:t>
            </w:r>
            <w:r w:rsidRPr="00AD0EB9">
              <w:rPr>
                <w:rFonts w:ascii="仿宋_GB2312" w:eastAsia="仿宋_GB2312" w:hAnsi="仿宋_GB2312" w:cs="仿宋_GB2312"/>
              </w:rPr>
              <w:t>)</w:t>
            </w:r>
          </w:p>
        </w:tc>
        <w:tc>
          <w:tcPr>
            <w:tcW w:w="386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复旦大学附属金山医院内镜中心装饰装修项目</w:t>
            </w:r>
          </w:p>
        </w:tc>
        <w:tc>
          <w:tcPr>
            <w:tcW w:w="208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上海住建工程有限公司</w:t>
            </w:r>
          </w:p>
        </w:tc>
        <w:tc>
          <w:tcPr>
            <w:tcW w:w="1267"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423.6</w:t>
            </w:r>
          </w:p>
        </w:tc>
        <w:tc>
          <w:tcPr>
            <w:tcW w:w="1162"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0</w:t>
            </w:r>
          </w:p>
        </w:tc>
        <w:tc>
          <w:tcPr>
            <w:tcW w:w="70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公开招标</w:t>
            </w:r>
            <w:r w:rsidRPr="00AD0EB9">
              <w:rPr>
                <w:rFonts w:ascii="仿宋_GB2312" w:eastAsia="仿宋_GB2312" w:hAnsi="仿宋_GB2312" w:cs="仿宋_GB2312"/>
              </w:rPr>
              <w:t xml:space="preserve"> </w:t>
            </w:r>
          </w:p>
        </w:tc>
      </w:tr>
      <w:tr w:rsidR="0046336B">
        <w:trPr>
          <w:trHeight w:hRule="exact" w:val="624"/>
          <w:jc w:val="center"/>
        </w:trPr>
        <w:tc>
          <w:tcPr>
            <w:tcW w:w="468"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4</w:t>
            </w:r>
          </w:p>
        </w:tc>
        <w:tc>
          <w:tcPr>
            <w:tcW w:w="1271"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2002JS0315</w:t>
            </w:r>
          </w:p>
        </w:tc>
        <w:tc>
          <w:tcPr>
            <w:tcW w:w="1059"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C01</w:t>
            </w:r>
          </w:p>
        </w:tc>
        <w:tc>
          <w:tcPr>
            <w:tcW w:w="2615"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上海市金山区张堰镇百家村村民委员会</w:t>
            </w:r>
          </w:p>
        </w:tc>
        <w:tc>
          <w:tcPr>
            <w:tcW w:w="386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张堰镇百家村乡村振兴核心区风貌提升项目</w:t>
            </w:r>
            <w:r w:rsidRPr="00AD0EB9">
              <w:rPr>
                <w:rFonts w:ascii="仿宋_GB2312" w:eastAsia="仿宋_GB2312" w:hAnsi="仿宋_GB2312" w:cs="仿宋_GB2312"/>
              </w:rPr>
              <w:t xml:space="preserve">  </w:t>
            </w:r>
          </w:p>
        </w:tc>
        <w:tc>
          <w:tcPr>
            <w:tcW w:w="208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上海住建工程有限公司</w:t>
            </w:r>
            <w:r w:rsidRPr="00AD0EB9">
              <w:rPr>
                <w:rFonts w:ascii="仿宋_GB2312" w:eastAsia="仿宋_GB2312" w:hAnsi="仿宋_GB2312" w:cs="仿宋_GB2312"/>
              </w:rPr>
              <w:t xml:space="preserve"> </w:t>
            </w:r>
          </w:p>
        </w:tc>
        <w:tc>
          <w:tcPr>
            <w:tcW w:w="1267"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1697.5242</w:t>
            </w:r>
          </w:p>
        </w:tc>
        <w:tc>
          <w:tcPr>
            <w:tcW w:w="1162"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0</w:t>
            </w:r>
          </w:p>
        </w:tc>
        <w:tc>
          <w:tcPr>
            <w:tcW w:w="70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公开招标</w:t>
            </w:r>
            <w:r w:rsidRPr="00AD0EB9">
              <w:rPr>
                <w:rFonts w:ascii="仿宋_GB2312" w:eastAsia="仿宋_GB2312" w:hAnsi="仿宋_GB2312" w:cs="仿宋_GB2312"/>
              </w:rPr>
              <w:t xml:space="preserve"> </w:t>
            </w:r>
          </w:p>
        </w:tc>
      </w:tr>
      <w:tr w:rsidR="0046336B">
        <w:trPr>
          <w:trHeight w:hRule="exact" w:val="624"/>
          <w:jc w:val="center"/>
        </w:trPr>
        <w:tc>
          <w:tcPr>
            <w:tcW w:w="468"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5</w:t>
            </w:r>
          </w:p>
        </w:tc>
        <w:tc>
          <w:tcPr>
            <w:tcW w:w="1271"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2002JS0300</w:t>
            </w:r>
          </w:p>
        </w:tc>
        <w:tc>
          <w:tcPr>
            <w:tcW w:w="1059"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C01</w:t>
            </w:r>
          </w:p>
        </w:tc>
        <w:tc>
          <w:tcPr>
            <w:tcW w:w="2615"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上海枫泾工业投资发展有限公司</w:t>
            </w:r>
          </w:p>
        </w:tc>
        <w:tc>
          <w:tcPr>
            <w:tcW w:w="386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枫泾镇钱明东路（环东一路</w:t>
            </w:r>
            <w:r w:rsidRPr="00AD0EB9">
              <w:rPr>
                <w:rFonts w:ascii="仿宋_GB2312" w:eastAsia="仿宋_GB2312" w:hAnsi="仿宋_GB2312" w:cs="仿宋_GB2312"/>
              </w:rPr>
              <w:t>-</w:t>
            </w:r>
            <w:r w:rsidRPr="00AD0EB9">
              <w:rPr>
                <w:rFonts w:ascii="仿宋_GB2312" w:eastAsia="仿宋_GB2312" w:hAnsi="仿宋_GB2312" w:cs="仿宋_GB2312" w:hint="eastAsia"/>
              </w:rPr>
              <w:t>环东二路）道路改造工程</w:t>
            </w:r>
            <w:r w:rsidRPr="00AD0EB9">
              <w:rPr>
                <w:rFonts w:ascii="仿宋_GB2312" w:eastAsia="仿宋_GB2312" w:hAnsi="仿宋_GB2312" w:cs="仿宋_GB2312"/>
              </w:rPr>
              <w:t xml:space="preserve">  </w:t>
            </w:r>
          </w:p>
        </w:tc>
        <w:tc>
          <w:tcPr>
            <w:tcW w:w="208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上海华地建设工程有限公司</w:t>
            </w:r>
          </w:p>
        </w:tc>
        <w:tc>
          <w:tcPr>
            <w:tcW w:w="1267"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482.8181</w:t>
            </w:r>
          </w:p>
        </w:tc>
        <w:tc>
          <w:tcPr>
            <w:tcW w:w="1162"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0</w:t>
            </w:r>
          </w:p>
        </w:tc>
        <w:tc>
          <w:tcPr>
            <w:tcW w:w="70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公开招标</w:t>
            </w:r>
            <w:r w:rsidRPr="00AD0EB9">
              <w:rPr>
                <w:rFonts w:ascii="仿宋_GB2312" w:eastAsia="仿宋_GB2312" w:hAnsi="仿宋_GB2312" w:cs="仿宋_GB2312"/>
              </w:rPr>
              <w:t xml:space="preserve"> </w:t>
            </w:r>
          </w:p>
        </w:tc>
      </w:tr>
      <w:tr w:rsidR="0046336B">
        <w:trPr>
          <w:trHeight w:hRule="exact" w:val="624"/>
          <w:jc w:val="center"/>
        </w:trPr>
        <w:tc>
          <w:tcPr>
            <w:tcW w:w="468"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6</w:t>
            </w:r>
          </w:p>
        </w:tc>
        <w:tc>
          <w:tcPr>
            <w:tcW w:w="1271"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2002JS0290</w:t>
            </w:r>
          </w:p>
        </w:tc>
        <w:tc>
          <w:tcPr>
            <w:tcW w:w="1059"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C01</w:t>
            </w:r>
          </w:p>
        </w:tc>
        <w:tc>
          <w:tcPr>
            <w:tcW w:w="2615"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上海市金山区廊下镇人民政府</w:t>
            </w:r>
          </w:p>
        </w:tc>
        <w:tc>
          <w:tcPr>
            <w:tcW w:w="386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廊下镇漕廊公路（金廊公路～朱平公路）</w:t>
            </w:r>
            <w:r w:rsidRPr="00AD0EB9">
              <w:rPr>
                <w:rFonts w:ascii="仿宋_GB2312" w:eastAsia="仿宋_GB2312" w:hAnsi="仿宋_GB2312" w:cs="仿宋_GB2312"/>
              </w:rPr>
              <w:t xml:space="preserve"> </w:t>
            </w:r>
            <w:r w:rsidRPr="00AD0EB9">
              <w:rPr>
                <w:rFonts w:ascii="仿宋_GB2312" w:eastAsia="仿宋_GB2312" w:hAnsi="仿宋_GB2312" w:cs="仿宋_GB2312" w:hint="eastAsia"/>
              </w:rPr>
              <w:t>污水管网新建工程</w:t>
            </w:r>
            <w:r w:rsidRPr="00AD0EB9">
              <w:rPr>
                <w:rFonts w:ascii="仿宋_GB2312" w:eastAsia="仿宋_GB2312" w:hAnsi="仿宋_GB2312" w:cs="仿宋_GB2312"/>
              </w:rPr>
              <w:t xml:space="preserve">  </w:t>
            </w:r>
          </w:p>
        </w:tc>
        <w:tc>
          <w:tcPr>
            <w:tcW w:w="208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上海朝华工程建设发展有限公司</w:t>
            </w:r>
          </w:p>
        </w:tc>
        <w:tc>
          <w:tcPr>
            <w:tcW w:w="1267"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2380.2961</w:t>
            </w:r>
          </w:p>
        </w:tc>
        <w:tc>
          <w:tcPr>
            <w:tcW w:w="1162"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0</w:t>
            </w:r>
          </w:p>
        </w:tc>
        <w:tc>
          <w:tcPr>
            <w:tcW w:w="70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公开招标</w:t>
            </w:r>
            <w:r w:rsidRPr="00AD0EB9">
              <w:rPr>
                <w:rFonts w:ascii="仿宋_GB2312" w:eastAsia="仿宋_GB2312" w:hAnsi="仿宋_GB2312" w:cs="仿宋_GB2312"/>
              </w:rPr>
              <w:t xml:space="preserve"> </w:t>
            </w:r>
          </w:p>
        </w:tc>
      </w:tr>
      <w:tr w:rsidR="0046336B">
        <w:trPr>
          <w:trHeight w:hRule="exact" w:val="912"/>
          <w:jc w:val="center"/>
        </w:trPr>
        <w:tc>
          <w:tcPr>
            <w:tcW w:w="468"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7</w:t>
            </w:r>
          </w:p>
        </w:tc>
        <w:tc>
          <w:tcPr>
            <w:tcW w:w="1271"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2002JS0006</w:t>
            </w:r>
          </w:p>
        </w:tc>
        <w:tc>
          <w:tcPr>
            <w:tcW w:w="1059"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C01</w:t>
            </w:r>
          </w:p>
        </w:tc>
        <w:tc>
          <w:tcPr>
            <w:tcW w:w="2615"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上海市金山区机关事务管理局</w:t>
            </w:r>
          </w:p>
        </w:tc>
        <w:tc>
          <w:tcPr>
            <w:tcW w:w="386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金山区金一东路</w:t>
            </w:r>
            <w:r w:rsidRPr="00AD0EB9">
              <w:rPr>
                <w:rFonts w:ascii="仿宋_GB2312" w:eastAsia="仿宋_GB2312" w:hAnsi="仿宋_GB2312" w:cs="仿宋_GB2312"/>
              </w:rPr>
              <w:t>391</w:t>
            </w:r>
            <w:r w:rsidRPr="00AD0EB9">
              <w:rPr>
                <w:rFonts w:ascii="仿宋_GB2312" w:eastAsia="仿宋_GB2312" w:hAnsi="仿宋_GB2312" w:cs="仿宋_GB2312" w:hint="eastAsia"/>
              </w:rPr>
              <w:t>号东区房屋修缮及室外总体改造工程</w:t>
            </w:r>
            <w:r w:rsidRPr="00AD0EB9">
              <w:rPr>
                <w:rFonts w:ascii="仿宋_GB2312" w:eastAsia="仿宋_GB2312" w:hAnsi="仿宋_GB2312" w:cs="仿宋_GB2312"/>
              </w:rPr>
              <w:t xml:space="preserve"> </w:t>
            </w:r>
          </w:p>
        </w:tc>
        <w:tc>
          <w:tcPr>
            <w:tcW w:w="208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上海现代建筑设计集团工程建设咨询有限公司</w:t>
            </w:r>
          </w:p>
        </w:tc>
        <w:tc>
          <w:tcPr>
            <w:tcW w:w="1267"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7048.3706</w:t>
            </w:r>
          </w:p>
        </w:tc>
        <w:tc>
          <w:tcPr>
            <w:tcW w:w="1162"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0</w:t>
            </w:r>
          </w:p>
        </w:tc>
        <w:tc>
          <w:tcPr>
            <w:tcW w:w="70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公开招标</w:t>
            </w:r>
            <w:r w:rsidRPr="00AD0EB9">
              <w:rPr>
                <w:rFonts w:ascii="仿宋_GB2312" w:eastAsia="仿宋_GB2312" w:hAnsi="仿宋_GB2312" w:cs="仿宋_GB2312"/>
              </w:rPr>
              <w:t xml:space="preserve"> </w:t>
            </w:r>
          </w:p>
        </w:tc>
      </w:tr>
      <w:tr w:rsidR="0046336B">
        <w:trPr>
          <w:trHeight w:hRule="exact" w:val="624"/>
          <w:jc w:val="center"/>
        </w:trPr>
        <w:tc>
          <w:tcPr>
            <w:tcW w:w="468"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8</w:t>
            </w:r>
          </w:p>
        </w:tc>
        <w:tc>
          <w:tcPr>
            <w:tcW w:w="1271"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2002JS0004</w:t>
            </w:r>
          </w:p>
        </w:tc>
        <w:tc>
          <w:tcPr>
            <w:tcW w:w="1059"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C01ZG002</w:t>
            </w:r>
          </w:p>
        </w:tc>
        <w:tc>
          <w:tcPr>
            <w:tcW w:w="2615"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上海金山房屋经营有限公司</w:t>
            </w:r>
          </w:p>
        </w:tc>
        <w:tc>
          <w:tcPr>
            <w:tcW w:w="386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金山新城</w:t>
            </w:r>
            <w:r w:rsidRPr="00AD0EB9">
              <w:rPr>
                <w:rFonts w:ascii="仿宋_GB2312" w:eastAsia="仿宋_GB2312" w:hAnsi="仿宋_GB2312" w:cs="仿宋_GB2312"/>
              </w:rPr>
              <w:t>JSC10201</w:t>
            </w:r>
            <w:r w:rsidRPr="00AD0EB9">
              <w:rPr>
                <w:rFonts w:ascii="仿宋_GB2312" w:eastAsia="仿宋_GB2312" w:hAnsi="仿宋_GB2312" w:cs="仿宋_GB2312" w:hint="eastAsia"/>
              </w:rPr>
              <w:t>单元</w:t>
            </w:r>
            <w:r w:rsidRPr="00AD0EB9">
              <w:rPr>
                <w:rFonts w:ascii="仿宋_GB2312" w:eastAsia="仿宋_GB2312" w:hAnsi="仿宋_GB2312" w:cs="仿宋_GB2312"/>
              </w:rPr>
              <w:t>20-07</w:t>
            </w:r>
            <w:r w:rsidRPr="00AD0EB9">
              <w:rPr>
                <w:rFonts w:ascii="仿宋_GB2312" w:eastAsia="仿宋_GB2312" w:hAnsi="仿宋_GB2312" w:cs="仿宋_GB2312" w:hint="eastAsia"/>
              </w:rPr>
              <w:t>地块租赁住房项目消防专业分包工程</w:t>
            </w:r>
          </w:p>
        </w:tc>
        <w:tc>
          <w:tcPr>
            <w:tcW w:w="208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上海华擎建设有限公司</w:t>
            </w:r>
          </w:p>
        </w:tc>
        <w:tc>
          <w:tcPr>
            <w:tcW w:w="1267"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442.0232</w:t>
            </w:r>
          </w:p>
        </w:tc>
        <w:tc>
          <w:tcPr>
            <w:tcW w:w="1162"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0</w:t>
            </w:r>
          </w:p>
        </w:tc>
        <w:tc>
          <w:tcPr>
            <w:tcW w:w="70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公开招标</w:t>
            </w:r>
            <w:r w:rsidRPr="00AD0EB9">
              <w:rPr>
                <w:rFonts w:ascii="仿宋_GB2312" w:eastAsia="仿宋_GB2312" w:hAnsi="仿宋_GB2312" w:cs="仿宋_GB2312"/>
              </w:rPr>
              <w:t xml:space="preserve"> </w:t>
            </w:r>
          </w:p>
        </w:tc>
      </w:tr>
      <w:tr w:rsidR="0046336B">
        <w:trPr>
          <w:trHeight w:hRule="exact" w:val="1515"/>
          <w:jc w:val="center"/>
        </w:trPr>
        <w:tc>
          <w:tcPr>
            <w:tcW w:w="468"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9</w:t>
            </w:r>
          </w:p>
        </w:tc>
        <w:tc>
          <w:tcPr>
            <w:tcW w:w="1271"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2102JS0053</w:t>
            </w:r>
          </w:p>
        </w:tc>
        <w:tc>
          <w:tcPr>
            <w:tcW w:w="1059"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C01</w:t>
            </w:r>
          </w:p>
        </w:tc>
        <w:tc>
          <w:tcPr>
            <w:tcW w:w="2615"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上海地产住房发展有限公司</w:t>
            </w:r>
          </w:p>
        </w:tc>
        <w:tc>
          <w:tcPr>
            <w:tcW w:w="386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金山区公共服务租赁性配套用房项目</w:t>
            </w:r>
            <w:r w:rsidRPr="00AD0EB9">
              <w:rPr>
                <w:rFonts w:ascii="仿宋_GB2312" w:eastAsia="仿宋_GB2312" w:hAnsi="仿宋_GB2312" w:cs="仿宋_GB2312"/>
              </w:rPr>
              <w:t>( JSS30405</w:t>
            </w:r>
            <w:r w:rsidRPr="00AD0EB9">
              <w:rPr>
                <w:rFonts w:ascii="仿宋_GB2312" w:eastAsia="仿宋_GB2312" w:hAnsi="仿宋_GB2312" w:cs="仿宋_GB2312" w:hint="eastAsia"/>
              </w:rPr>
              <w:t>单元</w:t>
            </w:r>
            <w:r w:rsidRPr="00AD0EB9">
              <w:rPr>
                <w:rFonts w:ascii="仿宋_GB2312" w:eastAsia="仿宋_GB2312" w:hAnsi="仿宋_GB2312" w:cs="仿宋_GB2312"/>
              </w:rPr>
              <w:t>02-07</w:t>
            </w:r>
            <w:r w:rsidRPr="00AD0EB9">
              <w:rPr>
                <w:rFonts w:ascii="仿宋_GB2312" w:eastAsia="仿宋_GB2312" w:hAnsi="仿宋_GB2312" w:cs="仿宋_GB2312" w:hint="eastAsia"/>
              </w:rPr>
              <w:t>地块项目</w:t>
            </w:r>
            <w:r w:rsidRPr="00AD0EB9">
              <w:rPr>
                <w:rFonts w:ascii="仿宋_GB2312" w:eastAsia="仿宋_GB2312" w:hAnsi="仿宋_GB2312" w:cs="仿宋_GB2312"/>
              </w:rPr>
              <w:t xml:space="preserve"> )  </w:t>
            </w:r>
          </w:p>
        </w:tc>
        <w:tc>
          <w:tcPr>
            <w:tcW w:w="208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上海建工一建集团有限公司</w:t>
            </w:r>
            <w:r w:rsidRPr="00AD0EB9">
              <w:rPr>
                <w:rFonts w:ascii="仿宋_GB2312" w:eastAsia="仿宋_GB2312" w:hAnsi="仿宋_GB2312" w:cs="仿宋_GB2312"/>
              </w:rPr>
              <w:t xml:space="preserve"> </w:t>
            </w:r>
          </w:p>
        </w:tc>
        <w:tc>
          <w:tcPr>
            <w:tcW w:w="1267"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35295.558</w:t>
            </w:r>
          </w:p>
        </w:tc>
        <w:tc>
          <w:tcPr>
            <w:tcW w:w="1162"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rPr>
              <w:t>64141</w:t>
            </w:r>
          </w:p>
        </w:tc>
        <w:tc>
          <w:tcPr>
            <w:tcW w:w="704" w:type="dxa"/>
            <w:vAlign w:val="center"/>
          </w:tcPr>
          <w:p w:rsidR="0046336B" w:rsidRPr="00AD0EB9" w:rsidRDefault="0046336B">
            <w:pPr>
              <w:jc w:val="center"/>
              <w:rPr>
                <w:rFonts w:ascii="仿宋_GB2312" w:eastAsia="仿宋_GB2312" w:hAnsi="仿宋_GB2312"/>
              </w:rPr>
            </w:pPr>
            <w:r w:rsidRPr="00AD0EB9">
              <w:rPr>
                <w:rFonts w:ascii="仿宋_GB2312" w:eastAsia="仿宋_GB2312" w:hAnsi="仿宋_GB2312" w:cs="仿宋_GB2312" w:hint="eastAsia"/>
              </w:rPr>
              <w:t>直接发包调正招标方式</w:t>
            </w:r>
          </w:p>
        </w:tc>
      </w:tr>
    </w:tbl>
    <w:p w:rsidR="0046336B" w:rsidRDefault="0046336B" w:rsidP="00B0038A">
      <w:pPr>
        <w:snapToGrid w:val="0"/>
        <w:spacing w:before="240" w:line="240" w:lineRule="atLeast"/>
      </w:pPr>
    </w:p>
    <w:sectPr w:rsidR="0046336B"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6B" w:rsidRDefault="0046336B" w:rsidP="00003F98">
      <w:r>
        <w:separator/>
      </w:r>
    </w:p>
  </w:endnote>
  <w:endnote w:type="continuationSeparator" w:id="0">
    <w:p w:rsidR="0046336B" w:rsidRDefault="0046336B" w:rsidP="00003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6B" w:rsidRDefault="0046336B">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6B" w:rsidRDefault="0046336B" w:rsidP="00003F98">
      <w:r>
        <w:separator/>
      </w:r>
    </w:p>
  </w:footnote>
  <w:footnote w:type="continuationSeparator" w:id="0">
    <w:p w:rsidR="0046336B" w:rsidRDefault="0046336B"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6B" w:rsidRDefault="0046336B">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647"/>
    <w:multiLevelType w:val="hybridMultilevel"/>
    <w:tmpl w:val="994C8722"/>
    <w:lvl w:ilvl="0" w:tplc="4E70817A">
      <w:start w:val="1"/>
      <w:numFmt w:val="decimal"/>
      <w:lvlText w:val="%1、"/>
      <w:lvlJc w:val="left"/>
      <w:pPr>
        <w:tabs>
          <w:tab w:val="num" w:pos="1290"/>
        </w:tabs>
        <w:ind w:left="1290" w:hanging="72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651D"/>
    <w:rsid w:val="0000687A"/>
    <w:rsid w:val="00011114"/>
    <w:rsid w:val="00011505"/>
    <w:rsid w:val="00011D1A"/>
    <w:rsid w:val="0001228E"/>
    <w:rsid w:val="00013AB1"/>
    <w:rsid w:val="0001412D"/>
    <w:rsid w:val="0001418B"/>
    <w:rsid w:val="000155BC"/>
    <w:rsid w:val="000179CE"/>
    <w:rsid w:val="00020DFF"/>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87A"/>
    <w:rsid w:val="000369DF"/>
    <w:rsid w:val="00036DFA"/>
    <w:rsid w:val="000370FA"/>
    <w:rsid w:val="000379F5"/>
    <w:rsid w:val="00037F7D"/>
    <w:rsid w:val="000402B5"/>
    <w:rsid w:val="000407C1"/>
    <w:rsid w:val="00040872"/>
    <w:rsid w:val="00040EA1"/>
    <w:rsid w:val="00041D4F"/>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4DF3"/>
    <w:rsid w:val="00265008"/>
    <w:rsid w:val="00265719"/>
    <w:rsid w:val="00265879"/>
    <w:rsid w:val="00265DB1"/>
    <w:rsid w:val="00265DF4"/>
    <w:rsid w:val="00266ECD"/>
    <w:rsid w:val="00267344"/>
    <w:rsid w:val="0026762E"/>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480C"/>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4524"/>
    <w:rsid w:val="003B5347"/>
    <w:rsid w:val="003B5482"/>
    <w:rsid w:val="003B59A4"/>
    <w:rsid w:val="003B697C"/>
    <w:rsid w:val="003B6F0E"/>
    <w:rsid w:val="003C0068"/>
    <w:rsid w:val="003C17C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55A9"/>
    <w:rsid w:val="003D5BB9"/>
    <w:rsid w:val="003D687C"/>
    <w:rsid w:val="003D69DD"/>
    <w:rsid w:val="003D78A2"/>
    <w:rsid w:val="003D7CC8"/>
    <w:rsid w:val="003E005F"/>
    <w:rsid w:val="003E0470"/>
    <w:rsid w:val="003E1AE1"/>
    <w:rsid w:val="003E2088"/>
    <w:rsid w:val="003E2959"/>
    <w:rsid w:val="003E3009"/>
    <w:rsid w:val="003E4D50"/>
    <w:rsid w:val="003E5BF4"/>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4E3"/>
    <w:rsid w:val="005F48D6"/>
    <w:rsid w:val="005F4BD1"/>
    <w:rsid w:val="005F5476"/>
    <w:rsid w:val="005F6314"/>
    <w:rsid w:val="005F6F11"/>
    <w:rsid w:val="005F7839"/>
    <w:rsid w:val="005F790E"/>
    <w:rsid w:val="00601A7A"/>
    <w:rsid w:val="00601D99"/>
    <w:rsid w:val="0060253D"/>
    <w:rsid w:val="00602A64"/>
    <w:rsid w:val="00603C22"/>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014C"/>
    <w:rsid w:val="00691128"/>
    <w:rsid w:val="00691B08"/>
    <w:rsid w:val="00692698"/>
    <w:rsid w:val="00692DC9"/>
    <w:rsid w:val="00693C62"/>
    <w:rsid w:val="00693C7B"/>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C57"/>
    <w:rsid w:val="0090460C"/>
    <w:rsid w:val="00905504"/>
    <w:rsid w:val="0090562E"/>
    <w:rsid w:val="00905C53"/>
    <w:rsid w:val="009060E1"/>
    <w:rsid w:val="00906D5E"/>
    <w:rsid w:val="00906EE5"/>
    <w:rsid w:val="0090783A"/>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FC6"/>
    <w:rsid w:val="00A07FBC"/>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5871"/>
    <w:rsid w:val="00AC593C"/>
    <w:rsid w:val="00AC5ABF"/>
    <w:rsid w:val="00AC6218"/>
    <w:rsid w:val="00AC624A"/>
    <w:rsid w:val="00AC7145"/>
    <w:rsid w:val="00AC7B9F"/>
    <w:rsid w:val="00AC7ECD"/>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EA7"/>
    <w:rsid w:val="00B45830"/>
    <w:rsid w:val="00B4592C"/>
    <w:rsid w:val="00B45E60"/>
    <w:rsid w:val="00B460B8"/>
    <w:rsid w:val="00B46688"/>
    <w:rsid w:val="00B46B6A"/>
    <w:rsid w:val="00B46FC8"/>
    <w:rsid w:val="00B47077"/>
    <w:rsid w:val="00B47E0F"/>
    <w:rsid w:val="00B504BC"/>
    <w:rsid w:val="00B509F0"/>
    <w:rsid w:val="00B53BB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C47"/>
    <w:rsid w:val="00B74CA9"/>
    <w:rsid w:val="00B75F6F"/>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2AAA"/>
    <w:rsid w:val="00BA2EF3"/>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981"/>
    <w:rsid w:val="00E62439"/>
    <w:rsid w:val="00E630D0"/>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1FFE"/>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A08"/>
    <w:rsid w:val="00EE4B1E"/>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4365"/>
    <w:rsid w:val="00F65B6F"/>
    <w:rsid w:val="00F65E0A"/>
    <w:rsid w:val="00F6682D"/>
    <w:rsid w:val="00F66ED1"/>
    <w:rsid w:val="00F66FE4"/>
    <w:rsid w:val="00F7002D"/>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406220954">
      <w:marLeft w:val="0"/>
      <w:marRight w:val="0"/>
      <w:marTop w:val="0"/>
      <w:marBottom w:val="0"/>
      <w:divBdr>
        <w:top w:val="none" w:sz="0" w:space="0" w:color="auto"/>
        <w:left w:val="none" w:sz="0" w:space="0" w:color="auto"/>
        <w:bottom w:val="none" w:sz="0" w:space="0" w:color="auto"/>
        <w:right w:val="none" w:sz="0" w:space="0" w:color="auto"/>
      </w:divBdr>
    </w:div>
    <w:div w:id="1406220955">
      <w:marLeft w:val="0"/>
      <w:marRight w:val="0"/>
      <w:marTop w:val="0"/>
      <w:marBottom w:val="0"/>
      <w:divBdr>
        <w:top w:val="none" w:sz="0" w:space="0" w:color="auto"/>
        <w:left w:val="none" w:sz="0" w:space="0" w:color="auto"/>
        <w:bottom w:val="none" w:sz="0" w:space="0" w:color="auto"/>
        <w:right w:val="none" w:sz="0" w:space="0" w:color="auto"/>
      </w:divBdr>
    </w:div>
    <w:div w:id="1406220956">
      <w:marLeft w:val="0"/>
      <w:marRight w:val="0"/>
      <w:marTop w:val="0"/>
      <w:marBottom w:val="0"/>
      <w:divBdr>
        <w:top w:val="none" w:sz="0" w:space="0" w:color="auto"/>
        <w:left w:val="none" w:sz="0" w:space="0" w:color="auto"/>
        <w:bottom w:val="none" w:sz="0" w:space="0" w:color="auto"/>
        <w:right w:val="none" w:sz="0" w:space="0" w:color="auto"/>
      </w:divBdr>
    </w:div>
    <w:div w:id="1406220971">
      <w:marLeft w:val="0"/>
      <w:marRight w:val="0"/>
      <w:marTop w:val="0"/>
      <w:marBottom w:val="0"/>
      <w:divBdr>
        <w:top w:val="none" w:sz="0" w:space="0" w:color="auto"/>
        <w:left w:val="none" w:sz="0" w:space="0" w:color="auto"/>
        <w:bottom w:val="none" w:sz="0" w:space="0" w:color="auto"/>
        <w:right w:val="none" w:sz="0" w:space="0" w:color="auto"/>
      </w:divBdr>
      <w:divsChild>
        <w:div w:id="1406220964">
          <w:marLeft w:val="0"/>
          <w:marRight w:val="0"/>
          <w:marTop w:val="150"/>
          <w:marBottom w:val="100"/>
          <w:divBdr>
            <w:top w:val="none" w:sz="0" w:space="0" w:color="auto"/>
            <w:left w:val="none" w:sz="0" w:space="0" w:color="auto"/>
            <w:bottom w:val="none" w:sz="0" w:space="0" w:color="auto"/>
            <w:right w:val="none" w:sz="0" w:space="0" w:color="auto"/>
          </w:divBdr>
        </w:div>
        <w:div w:id="1406220976">
          <w:marLeft w:val="0"/>
          <w:marRight w:val="0"/>
          <w:marTop w:val="0"/>
          <w:marBottom w:val="0"/>
          <w:divBdr>
            <w:top w:val="none" w:sz="0" w:space="0" w:color="auto"/>
            <w:left w:val="none" w:sz="0" w:space="0" w:color="auto"/>
            <w:bottom w:val="none" w:sz="0" w:space="0" w:color="auto"/>
            <w:right w:val="none" w:sz="0" w:space="0" w:color="auto"/>
          </w:divBdr>
          <w:divsChild>
            <w:div w:id="1406220957">
              <w:marLeft w:val="0"/>
              <w:marRight w:val="0"/>
              <w:marTop w:val="0"/>
              <w:marBottom w:val="0"/>
              <w:divBdr>
                <w:top w:val="none" w:sz="0" w:space="0" w:color="auto"/>
                <w:left w:val="none" w:sz="0" w:space="0" w:color="auto"/>
                <w:bottom w:val="none" w:sz="0" w:space="0" w:color="auto"/>
                <w:right w:val="none" w:sz="0" w:space="0" w:color="auto"/>
              </w:divBdr>
            </w:div>
            <w:div w:id="1406220958">
              <w:marLeft w:val="0"/>
              <w:marRight w:val="0"/>
              <w:marTop w:val="0"/>
              <w:marBottom w:val="0"/>
              <w:divBdr>
                <w:top w:val="none" w:sz="0" w:space="0" w:color="auto"/>
                <w:left w:val="none" w:sz="0" w:space="0" w:color="auto"/>
                <w:bottom w:val="none" w:sz="0" w:space="0" w:color="auto"/>
                <w:right w:val="none" w:sz="0" w:space="0" w:color="auto"/>
              </w:divBdr>
            </w:div>
            <w:div w:id="1406220959">
              <w:marLeft w:val="0"/>
              <w:marRight w:val="0"/>
              <w:marTop w:val="0"/>
              <w:marBottom w:val="0"/>
              <w:divBdr>
                <w:top w:val="none" w:sz="0" w:space="0" w:color="auto"/>
                <w:left w:val="none" w:sz="0" w:space="0" w:color="auto"/>
                <w:bottom w:val="none" w:sz="0" w:space="0" w:color="auto"/>
                <w:right w:val="none" w:sz="0" w:space="0" w:color="auto"/>
              </w:divBdr>
            </w:div>
            <w:div w:id="1406220960">
              <w:marLeft w:val="0"/>
              <w:marRight w:val="0"/>
              <w:marTop w:val="0"/>
              <w:marBottom w:val="0"/>
              <w:divBdr>
                <w:top w:val="none" w:sz="0" w:space="0" w:color="auto"/>
                <w:left w:val="none" w:sz="0" w:space="0" w:color="auto"/>
                <w:bottom w:val="none" w:sz="0" w:space="0" w:color="auto"/>
                <w:right w:val="none" w:sz="0" w:space="0" w:color="auto"/>
              </w:divBdr>
            </w:div>
            <w:div w:id="1406220961">
              <w:marLeft w:val="0"/>
              <w:marRight w:val="0"/>
              <w:marTop w:val="0"/>
              <w:marBottom w:val="0"/>
              <w:divBdr>
                <w:top w:val="none" w:sz="0" w:space="0" w:color="auto"/>
                <w:left w:val="none" w:sz="0" w:space="0" w:color="auto"/>
                <w:bottom w:val="none" w:sz="0" w:space="0" w:color="auto"/>
                <w:right w:val="none" w:sz="0" w:space="0" w:color="auto"/>
              </w:divBdr>
            </w:div>
            <w:div w:id="1406220962">
              <w:marLeft w:val="0"/>
              <w:marRight w:val="0"/>
              <w:marTop w:val="0"/>
              <w:marBottom w:val="0"/>
              <w:divBdr>
                <w:top w:val="none" w:sz="0" w:space="0" w:color="auto"/>
                <w:left w:val="none" w:sz="0" w:space="0" w:color="auto"/>
                <w:bottom w:val="none" w:sz="0" w:space="0" w:color="auto"/>
                <w:right w:val="none" w:sz="0" w:space="0" w:color="auto"/>
              </w:divBdr>
            </w:div>
            <w:div w:id="1406220963">
              <w:marLeft w:val="0"/>
              <w:marRight w:val="0"/>
              <w:marTop w:val="0"/>
              <w:marBottom w:val="0"/>
              <w:divBdr>
                <w:top w:val="none" w:sz="0" w:space="0" w:color="auto"/>
                <w:left w:val="none" w:sz="0" w:space="0" w:color="auto"/>
                <w:bottom w:val="none" w:sz="0" w:space="0" w:color="auto"/>
                <w:right w:val="none" w:sz="0" w:space="0" w:color="auto"/>
              </w:divBdr>
            </w:div>
            <w:div w:id="1406220965">
              <w:marLeft w:val="0"/>
              <w:marRight w:val="0"/>
              <w:marTop w:val="0"/>
              <w:marBottom w:val="0"/>
              <w:divBdr>
                <w:top w:val="none" w:sz="0" w:space="0" w:color="auto"/>
                <w:left w:val="none" w:sz="0" w:space="0" w:color="auto"/>
                <w:bottom w:val="none" w:sz="0" w:space="0" w:color="auto"/>
                <w:right w:val="none" w:sz="0" w:space="0" w:color="auto"/>
              </w:divBdr>
            </w:div>
            <w:div w:id="1406220966">
              <w:marLeft w:val="0"/>
              <w:marRight w:val="0"/>
              <w:marTop w:val="0"/>
              <w:marBottom w:val="0"/>
              <w:divBdr>
                <w:top w:val="none" w:sz="0" w:space="0" w:color="auto"/>
                <w:left w:val="none" w:sz="0" w:space="0" w:color="auto"/>
                <w:bottom w:val="none" w:sz="0" w:space="0" w:color="auto"/>
                <w:right w:val="none" w:sz="0" w:space="0" w:color="auto"/>
              </w:divBdr>
            </w:div>
            <w:div w:id="1406220967">
              <w:marLeft w:val="0"/>
              <w:marRight w:val="0"/>
              <w:marTop w:val="0"/>
              <w:marBottom w:val="0"/>
              <w:divBdr>
                <w:top w:val="none" w:sz="0" w:space="0" w:color="auto"/>
                <w:left w:val="none" w:sz="0" w:space="0" w:color="auto"/>
                <w:bottom w:val="none" w:sz="0" w:space="0" w:color="auto"/>
                <w:right w:val="none" w:sz="0" w:space="0" w:color="auto"/>
              </w:divBdr>
            </w:div>
            <w:div w:id="1406220968">
              <w:marLeft w:val="0"/>
              <w:marRight w:val="0"/>
              <w:marTop w:val="0"/>
              <w:marBottom w:val="0"/>
              <w:divBdr>
                <w:top w:val="none" w:sz="0" w:space="0" w:color="auto"/>
                <w:left w:val="none" w:sz="0" w:space="0" w:color="auto"/>
                <w:bottom w:val="none" w:sz="0" w:space="0" w:color="auto"/>
                <w:right w:val="none" w:sz="0" w:space="0" w:color="auto"/>
              </w:divBdr>
            </w:div>
            <w:div w:id="1406220969">
              <w:marLeft w:val="0"/>
              <w:marRight w:val="0"/>
              <w:marTop w:val="0"/>
              <w:marBottom w:val="0"/>
              <w:divBdr>
                <w:top w:val="none" w:sz="0" w:space="0" w:color="auto"/>
                <w:left w:val="none" w:sz="0" w:space="0" w:color="auto"/>
                <w:bottom w:val="none" w:sz="0" w:space="0" w:color="auto"/>
                <w:right w:val="none" w:sz="0" w:space="0" w:color="auto"/>
              </w:divBdr>
            </w:div>
            <w:div w:id="1406220970">
              <w:marLeft w:val="0"/>
              <w:marRight w:val="0"/>
              <w:marTop w:val="0"/>
              <w:marBottom w:val="0"/>
              <w:divBdr>
                <w:top w:val="none" w:sz="0" w:space="0" w:color="auto"/>
                <w:left w:val="none" w:sz="0" w:space="0" w:color="auto"/>
                <w:bottom w:val="none" w:sz="0" w:space="0" w:color="auto"/>
                <w:right w:val="none" w:sz="0" w:space="0" w:color="auto"/>
              </w:divBdr>
            </w:div>
            <w:div w:id="1406220972">
              <w:marLeft w:val="0"/>
              <w:marRight w:val="0"/>
              <w:marTop w:val="0"/>
              <w:marBottom w:val="0"/>
              <w:divBdr>
                <w:top w:val="none" w:sz="0" w:space="0" w:color="auto"/>
                <w:left w:val="none" w:sz="0" w:space="0" w:color="auto"/>
                <w:bottom w:val="none" w:sz="0" w:space="0" w:color="auto"/>
                <w:right w:val="none" w:sz="0" w:space="0" w:color="auto"/>
              </w:divBdr>
            </w:div>
            <w:div w:id="1406220973">
              <w:marLeft w:val="0"/>
              <w:marRight w:val="0"/>
              <w:marTop w:val="0"/>
              <w:marBottom w:val="0"/>
              <w:divBdr>
                <w:top w:val="none" w:sz="0" w:space="0" w:color="auto"/>
                <w:left w:val="none" w:sz="0" w:space="0" w:color="auto"/>
                <w:bottom w:val="none" w:sz="0" w:space="0" w:color="auto"/>
                <w:right w:val="none" w:sz="0" w:space="0" w:color="auto"/>
              </w:divBdr>
            </w:div>
            <w:div w:id="1406220974">
              <w:marLeft w:val="0"/>
              <w:marRight w:val="0"/>
              <w:marTop w:val="0"/>
              <w:marBottom w:val="0"/>
              <w:divBdr>
                <w:top w:val="none" w:sz="0" w:space="0" w:color="auto"/>
                <w:left w:val="none" w:sz="0" w:space="0" w:color="auto"/>
                <w:bottom w:val="none" w:sz="0" w:space="0" w:color="auto"/>
                <w:right w:val="none" w:sz="0" w:space="0" w:color="auto"/>
              </w:divBdr>
            </w:div>
            <w:div w:id="1406220975">
              <w:marLeft w:val="0"/>
              <w:marRight w:val="0"/>
              <w:marTop w:val="0"/>
              <w:marBottom w:val="0"/>
              <w:divBdr>
                <w:top w:val="none" w:sz="0" w:space="0" w:color="auto"/>
                <w:left w:val="none" w:sz="0" w:space="0" w:color="auto"/>
                <w:bottom w:val="none" w:sz="0" w:space="0" w:color="auto"/>
                <w:right w:val="none" w:sz="0" w:space="0" w:color="auto"/>
              </w:divBdr>
            </w:div>
            <w:div w:id="1406220977">
              <w:marLeft w:val="0"/>
              <w:marRight w:val="0"/>
              <w:marTop w:val="0"/>
              <w:marBottom w:val="0"/>
              <w:divBdr>
                <w:top w:val="none" w:sz="0" w:space="0" w:color="auto"/>
                <w:left w:val="none" w:sz="0" w:space="0" w:color="auto"/>
                <w:bottom w:val="none" w:sz="0" w:space="0" w:color="auto"/>
                <w:right w:val="none" w:sz="0" w:space="0" w:color="auto"/>
              </w:divBdr>
            </w:div>
            <w:div w:id="1406220978">
              <w:marLeft w:val="0"/>
              <w:marRight w:val="0"/>
              <w:marTop w:val="0"/>
              <w:marBottom w:val="0"/>
              <w:divBdr>
                <w:top w:val="none" w:sz="0" w:space="0" w:color="auto"/>
                <w:left w:val="none" w:sz="0" w:space="0" w:color="auto"/>
                <w:bottom w:val="none" w:sz="0" w:space="0" w:color="auto"/>
                <w:right w:val="none" w:sz="0" w:space="0" w:color="auto"/>
              </w:divBdr>
            </w:div>
            <w:div w:id="1406220980">
              <w:marLeft w:val="0"/>
              <w:marRight w:val="0"/>
              <w:marTop w:val="0"/>
              <w:marBottom w:val="0"/>
              <w:divBdr>
                <w:top w:val="none" w:sz="0" w:space="0" w:color="auto"/>
                <w:left w:val="none" w:sz="0" w:space="0" w:color="auto"/>
                <w:bottom w:val="none" w:sz="0" w:space="0" w:color="auto"/>
                <w:right w:val="none" w:sz="0" w:space="0" w:color="auto"/>
              </w:divBdr>
            </w:div>
            <w:div w:id="1406220981">
              <w:marLeft w:val="0"/>
              <w:marRight w:val="0"/>
              <w:marTop w:val="0"/>
              <w:marBottom w:val="0"/>
              <w:divBdr>
                <w:top w:val="none" w:sz="0" w:space="0" w:color="auto"/>
                <w:left w:val="none" w:sz="0" w:space="0" w:color="auto"/>
                <w:bottom w:val="none" w:sz="0" w:space="0" w:color="auto"/>
                <w:right w:val="none" w:sz="0" w:space="0" w:color="auto"/>
              </w:divBdr>
            </w:div>
            <w:div w:id="1406220982">
              <w:marLeft w:val="0"/>
              <w:marRight w:val="0"/>
              <w:marTop w:val="0"/>
              <w:marBottom w:val="0"/>
              <w:divBdr>
                <w:top w:val="none" w:sz="0" w:space="0" w:color="auto"/>
                <w:left w:val="none" w:sz="0" w:space="0" w:color="auto"/>
                <w:bottom w:val="none" w:sz="0" w:space="0" w:color="auto"/>
                <w:right w:val="none" w:sz="0" w:space="0" w:color="auto"/>
              </w:divBdr>
            </w:div>
            <w:div w:id="1406220983">
              <w:marLeft w:val="0"/>
              <w:marRight w:val="0"/>
              <w:marTop w:val="0"/>
              <w:marBottom w:val="0"/>
              <w:divBdr>
                <w:top w:val="none" w:sz="0" w:space="0" w:color="auto"/>
                <w:left w:val="none" w:sz="0" w:space="0" w:color="auto"/>
                <w:bottom w:val="none" w:sz="0" w:space="0" w:color="auto"/>
                <w:right w:val="none" w:sz="0" w:space="0" w:color="auto"/>
              </w:divBdr>
            </w:div>
            <w:div w:id="1406220984">
              <w:marLeft w:val="0"/>
              <w:marRight w:val="0"/>
              <w:marTop w:val="0"/>
              <w:marBottom w:val="0"/>
              <w:divBdr>
                <w:top w:val="none" w:sz="0" w:space="0" w:color="auto"/>
                <w:left w:val="none" w:sz="0" w:space="0" w:color="auto"/>
                <w:bottom w:val="none" w:sz="0" w:space="0" w:color="auto"/>
                <w:right w:val="none" w:sz="0" w:space="0" w:color="auto"/>
              </w:divBdr>
            </w:div>
            <w:div w:id="1406220985">
              <w:marLeft w:val="0"/>
              <w:marRight w:val="0"/>
              <w:marTop w:val="0"/>
              <w:marBottom w:val="0"/>
              <w:divBdr>
                <w:top w:val="none" w:sz="0" w:space="0" w:color="auto"/>
                <w:left w:val="none" w:sz="0" w:space="0" w:color="auto"/>
                <w:bottom w:val="none" w:sz="0" w:space="0" w:color="auto"/>
                <w:right w:val="none" w:sz="0" w:space="0" w:color="auto"/>
              </w:divBdr>
            </w:div>
            <w:div w:id="1406220986">
              <w:marLeft w:val="0"/>
              <w:marRight w:val="0"/>
              <w:marTop w:val="0"/>
              <w:marBottom w:val="0"/>
              <w:divBdr>
                <w:top w:val="none" w:sz="0" w:space="0" w:color="auto"/>
                <w:left w:val="none" w:sz="0" w:space="0" w:color="auto"/>
                <w:bottom w:val="none" w:sz="0" w:space="0" w:color="auto"/>
                <w:right w:val="none" w:sz="0" w:space="0" w:color="auto"/>
              </w:divBdr>
            </w:div>
            <w:div w:id="1406220987">
              <w:marLeft w:val="0"/>
              <w:marRight w:val="0"/>
              <w:marTop w:val="0"/>
              <w:marBottom w:val="0"/>
              <w:divBdr>
                <w:top w:val="none" w:sz="0" w:space="0" w:color="auto"/>
                <w:left w:val="none" w:sz="0" w:space="0" w:color="auto"/>
                <w:bottom w:val="none" w:sz="0" w:space="0" w:color="auto"/>
                <w:right w:val="none" w:sz="0" w:space="0" w:color="auto"/>
              </w:divBdr>
            </w:div>
            <w:div w:id="1406220988">
              <w:marLeft w:val="0"/>
              <w:marRight w:val="0"/>
              <w:marTop w:val="0"/>
              <w:marBottom w:val="0"/>
              <w:divBdr>
                <w:top w:val="none" w:sz="0" w:space="0" w:color="auto"/>
                <w:left w:val="none" w:sz="0" w:space="0" w:color="auto"/>
                <w:bottom w:val="none" w:sz="0" w:space="0" w:color="auto"/>
                <w:right w:val="none" w:sz="0" w:space="0" w:color="auto"/>
              </w:divBdr>
            </w:div>
            <w:div w:id="1406220989">
              <w:marLeft w:val="0"/>
              <w:marRight w:val="0"/>
              <w:marTop w:val="0"/>
              <w:marBottom w:val="0"/>
              <w:divBdr>
                <w:top w:val="none" w:sz="0" w:space="0" w:color="auto"/>
                <w:left w:val="none" w:sz="0" w:space="0" w:color="auto"/>
                <w:bottom w:val="none" w:sz="0" w:space="0" w:color="auto"/>
                <w:right w:val="none" w:sz="0" w:space="0" w:color="auto"/>
              </w:divBdr>
            </w:div>
            <w:div w:id="1406220990">
              <w:marLeft w:val="0"/>
              <w:marRight w:val="0"/>
              <w:marTop w:val="0"/>
              <w:marBottom w:val="0"/>
              <w:divBdr>
                <w:top w:val="none" w:sz="0" w:space="0" w:color="auto"/>
                <w:left w:val="none" w:sz="0" w:space="0" w:color="auto"/>
                <w:bottom w:val="none" w:sz="0" w:space="0" w:color="auto"/>
                <w:right w:val="none" w:sz="0" w:space="0" w:color="auto"/>
              </w:divBdr>
            </w:div>
            <w:div w:id="1406220991">
              <w:marLeft w:val="0"/>
              <w:marRight w:val="0"/>
              <w:marTop w:val="0"/>
              <w:marBottom w:val="0"/>
              <w:divBdr>
                <w:top w:val="none" w:sz="0" w:space="0" w:color="auto"/>
                <w:left w:val="none" w:sz="0" w:space="0" w:color="auto"/>
                <w:bottom w:val="none" w:sz="0" w:space="0" w:color="auto"/>
                <w:right w:val="none" w:sz="0" w:space="0" w:color="auto"/>
              </w:divBdr>
            </w:div>
            <w:div w:id="1406220992">
              <w:marLeft w:val="0"/>
              <w:marRight w:val="0"/>
              <w:marTop w:val="0"/>
              <w:marBottom w:val="0"/>
              <w:divBdr>
                <w:top w:val="none" w:sz="0" w:space="0" w:color="auto"/>
                <w:left w:val="none" w:sz="0" w:space="0" w:color="auto"/>
                <w:bottom w:val="none" w:sz="0" w:space="0" w:color="auto"/>
                <w:right w:val="none" w:sz="0" w:space="0" w:color="auto"/>
              </w:divBdr>
            </w:div>
            <w:div w:id="1406220993">
              <w:marLeft w:val="0"/>
              <w:marRight w:val="0"/>
              <w:marTop w:val="0"/>
              <w:marBottom w:val="0"/>
              <w:divBdr>
                <w:top w:val="none" w:sz="0" w:space="0" w:color="auto"/>
                <w:left w:val="none" w:sz="0" w:space="0" w:color="auto"/>
                <w:bottom w:val="none" w:sz="0" w:space="0" w:color="auto"/>
                <w:right w:val="none" w:sz="0" w:space="0" w:color="auto"/>
              </w:divBdr>
            </w:div>
            <w:div w:id="1406220994">
              <w:marLeft w:val="0"/>
              <w:marRight w:val="0"/>
              <w:marTop w:val="0"/>
              <w:marBottom w:val="0"/>
              <w:divBdr>
                <w:top w:val="none" w:sz="0" w:space="0" w:color="auto"/>
                <w:left w:val="none" w:sz="0" w:space="0" w:color="auto"/>
                <w:bottom w:val="none" w:sz="0" w:space="0" w:color="auto"/>
                <w:right w:val="none" w:sz="0" w:space="0" w:color="auto"/>
              </w:divBdr>
            </w:div>
            <w:div w:id="1406220995">
              <w:marLeft w:val="0"/>
              <w:marRight w:val="0"/>
              <w:marTop w:val="0"/>
              <w:marBottom w:val="0"/>
              <w:divBdr>
                <w:top w:val="none" w:sz="0" w:space="0" w:color="auto"/>
                <w:left w:val="none" w:sz="0" w:space="0" w:color="auto"/>
                <w:bottom w:val="none" w:sz="0" w:space="0" w:color="auto"/>
                <w:right w:val="none" w:sz="0" w:space="0" w:color="auto"/>
              </w:divBdr>
            </w:div>
          </w:divsChild>
        </w:div>
        <w:div w:id="1406220979">
          <w:marLeft w:val="150"/>
          <w:marRight w:val="0"/>
          <w:marTop w:val="0"/>
          <w:marBottom w:val="75"/>
          <w:divBdr>
            <w:top w:val="single" w:sz="6" w:space="0" w:color="DDDDDD"/>
            <w:left w:val="none" w:sz="0" w:space="0" w:color="auto"/>
            <w:bottom w:val="none" w:sz="0" w:space="0" w:color="auto"/>
            <w:right w:val="none" w:sz="0" w:space="0" w:color="auto"/>
          </w:divBdr>
        </w:div>
      </w:divsChild>
    </w:div>
    <w:div w:id="1406220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16</Pages>
  <Words>1790</Words>
  <Characters>10208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1085</cp:revision>
  <cp:lastPrinted>2019-10-08T01:40:00Z</cp:lastPrinted>
  <dcterms:created xsi:type="dcterms:W3CDTF">2015-02-28T00:43:00Z</dcterms:created>
  <dcterms:modified xsi:type="dcterms:W3CDTF">2021-05-07T06:09:00Z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