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center"/>
        <w:rPr>
          <w:rFonts w:ascii="华文行楷" w:hAnsi="华文行楷" w:eastAsia="华文行楷"/>
          <w:color w:val="FF0000"/>
          <w:sz w:val="132"/>
          <w:szCs w:val="132"/>
        </w:rPr>
      </w:pPr>
      <w:r>
        <w:rPr>
          <w:rFonts w:hint="eastAsia" w:ascii="华文行楷" w:hAnsi="华文行楷" w:eastAsia="华文行楷" w:cs="华文行楷"/>
          <w:color w:val="FF0000"/>
          <w:sz w:val="132"/>
          <w:szCs w:val="132"/>
        </w:rPr>
        <w:t>金山建协简讯</w:t>
      </w:r>
    </w:p>
    <w:p>
      <w:pPr>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b/>
          <w:bCs/>
          <w:color w:val="000000"/>
          <w:sz w:val="28"/>
          <w:szCs w:val="28"/>
        </w:rPr>
        <w:t>【</w:t>
      </w:r>
      <w:r>
        <w:rPr>
          <w:rFonts w:ascii="仿宋_GB2312" w:hAnsi="宋体" w:eastAsia="仿宋_GB2312" w:cs="仿宋_GB2312"/>
          <w:color w:val="000000"/>
          <w:sz w:val="28"/>
          <w:szCs w:val="28"/>
        </w:rPr>
        <w:t>2020</w:t>
      </w:r>
      <w:r>
        <w:rPr>
          <w:rFonts w:hint="eastAsia" w:ascii="仿宋_GB2312" w:hAnsi="宋体" w:eastAsia="仿宋_GB2312" w:cs="仿宋_GB2312"/>
          <w:b/>
          <w:bCs/>
          <w:color w:val="000000"/>
          <w:sz w:val="28"/>
          <w:szCs w:val="28"/>
        </w:rPr>
        <w:t>】</w:t>
      </w:r>
      <w:r>
        <w:rPr>
          <w:rFonts w:hint="eastAsia" w:ascii="仿宋_GB2312" w:hAnsi="宋体" w:eastAsia="仿宋_GB2312" w:cs="仿宋_GB2312"/>
          <w:color w:val="000000"/>
          <w:sz w:val="28"/>
          <w:szCs w:val="28"/>
        </w:rPr>
        <w:t>第五期</w:t>
      </w:r>
    </w:p>
    <w:p>
      <w:pPr>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color w:val="000000"/>
          <w:sz w:val="28"/>
          <w:szCs w:val="28"/>
        </w:rPr>
        <w:t>总第</w:t>
      </w:r>
      <w:r>
        <w:rPr>
          <w:rFonts w:ascii="仿宋_GB2312" w:hAnsi="宋体" w:eastAsia="仿宋_GB2312" w:cs="仿宋_GB2312"/>
          <w:color w:val="000000"/>
          <w:sz w:val="28"/>
          <w:szCs w:val="28"/>
        </w:rPr>
        <w:t>176</w:t>
      </w:r>
      <w:r>
        <w:rPr>
          <w:rFonts w:hint="eastAsia" w:ascii="仿宋_GB2312" w:hAnsi="宋体" w:eastAsia="仿宋_GB2312" w:cs="仿宋_GB2312"/>
          <w:color w:val="000000"/>
          <w:sz w:val="28"/>
          <w:szCs w:val="28"/>
        </w:rPr>
        <w:t>期</w:t>
      </w:r>
    </w:p>
    <w:p>
      <w:pPr>
        <w:snapToGrid w:val="0"/>
        <w:spacing w:line="560" w:lineRule="exact"/>
        <w:ind w:right="11"/>
        <w:jc w:val="right"/>
        <w:outlineLvl w:val="0"/>
        <w:rPr>
          <w:rFonts w:ascii="仿宋_GB2312" w:hAnsi="宋体" w:eastAsia="仿宋_GB2312"/>
          <w:color w:val="000000"/>
          <w:sz w:val="28"/>
          <w:szCs w:val="28"/>
        </w:rPr>
      </w:pPr>
      <w:r>
        <w:pict>
          <v:shape id="Text Box 3" o:spid="_x0000_s1026" o:spt="202" type="#_x0000_t202" style="position:absolute;left:0pt;margin-left:4.55pt;margin-top:1.3pt;height:38.2pt;width:258.75pt;z-index:251658240;mso-width-relative:page;mso-height-relative:page;" filled="f" stroked="f" coordsize="21600,21600">
            <v:path/>
            <v:fill on="f" focussize="0,0"/>
            <v:stroke on="f" joinstyle="miter"/>
            <v:imagedata o:title=""/>
            <o:lock v:ext="edit"/>
            <v:textbox>
              <w:txbxContent>
                <w:p>
                  <w:pPr>
                    <w:rPr>
                      <w:rFonts w:ascii="华文行楷" w:hAnsi="华文行楷" w:eastAsia="华文行楷"/>
                      <w:color w:val="FF0000"/>
                      <w:sz w:val="36"/>
                      <w:szCs w:val="36"/>
                    </w:rPr>
                  </w:pPr>
                  <w:r>
                    <w:rPr>
                      <w:rFonts w:hint="eastAsia" w:ascii="华文行楷" w:hAnsi="华文行楷" w:eastAsia="华文行楷" w:cs="华文行楷"/>
                      <w:color w:val="FF0000"/>
                      <w:sz w:val="36"/>
                      <w:szCs w:val="36"/>
                    </w:rPr>
                    <w:t>上海市金山区建筑联合协会编</w:t>
                  </w:r>
                </w:p>
              </w:txbxContent>
            </v:textbox>
          </v:shape>
        </w:pict>
      </w:r>
      <w:r>
        <w:rPr>
          <w:rFonts w:hint="eastAsia" w:ascii="仿宋_GB2312" w:hAnsi="宋体" w:eastAsia="仿宋_GB2312" w:cs="仿宋_GB2312"/>
          <w:color w:val="000000"/>
          <w:sz w:val="28"/>
          <w:szCs w:val="28"/>
        </w:rPr>
        <w:t>二</w:t>
      </w:r>
      <w:r>
        <w:rPr>
          <w:rFonts w:hint="eastAsia" w:ascii="仿宋_GB2312" w:cs="宋体"/>
          <w:sz w:val="28"/>
          <w:szCs w:val="28"/>
        </w:rPr>
        <w:t>○</w:t>
      </w:r>
      <w:r>
        <w:rPr>
          <w:rFonts w:hint="eastAsia" w:ascii="仿宋_GB2312" w:hAnsi="宋体" w:eastAsia="仿宋_GB2312" w:cs="仿宋_GB2312"/>
          <w:color w:val="000000"/>
          <w:sz w:val="28"/>
          <w:szCs w:val="28"/>
        </w:rPr>
        <w:t>二</w:t>
      </w:r>
      <w:r>
        <w:rPr>
          <w:rFonts w:hint="eastAsia" w:ascii="仿宋_GB2312" w:cs="宋体"/>
          <w:sz w:val="28"/>
          <w:szCs w:val="28"/>
        </w:rPr>
        <w:t>○</w:t>
      </w:r>
      <w:r>
        <w:rPr>
          <w:rFonts w:hint="eastAsia" w:ascii="仿宋_GB2312" w:hAnsi="宋体" w:eastAsia="仿宋_GB2312" w:cs="仿宋_GB2312"/>
          <w:color w:val="000000"/>
          <w:sz w:val="28"/>
          <w:szCs w:val="28"/>
        </w:rPr>
        <w:t>年六月十日</w:t>
      </w:r>
    </w:p>
    <w:p>
      <w:pPr>
        <w:snapToGrid w:val="0"/>
        <w:spacing w:before="100" w:beforeAutospacing="1" w:after="100" w:afterAutospacing="1" w:line="560" w:lineRule="exact"/>
        <w:rPr>
          <w:rFonts w:ascii="方正楷体简体" w:hAnsi="Arial" w:eastAsia="方正楷体简体"/>
          <w:b/>
          <w:bCs/>
          <w:color w:val="000000"/>
          <w:kern w:val="0"/>
          <w:sz w:val="32"/>
          <w:szCs w:val="32"/>
        </w:rPr>
      </w:pPr>
      <w:r>
        <w:pict>
          <v:line id="Line 2" o:spid="_x0000_s1027" o:spt="20" style="position:absolute;left:0pt;margin-left:-17.25pt;margin-top:12.6pt;height:0.45pt;width:468.75pt;z-index:251657216;mso-width-relative:page;mso-height-relative:page;" stroked="t" coordsize="21600,21600">
            <v:path arrowok="t"/>
            <v:fill focussize="0,0"/>
            <v:stroke weight="4.5pt" color="#FF0000"/>
            <v:imagedata o:title=""/>
            <o:lock v:ext="edit"/>
          </v:line>
        </w:pict>
      </w:r>
    </w:p>
    <w:p>
      <w:pPr>
        <w:pStyle w:val="4"/>
        <w:widowControl w:val="0"/>
        <w:spacing w:line="520" w:lineRule="exact"/>
        <w:rPr>
          <w:rFonts w:cs="Times New Roman"/>
        </w:rPr>
      </w:pPr>
      <w:r>
        <w:rPr>
          <w:rFonts w:hint="eastAsia" w:cs="黑体"/>
        </w:rPr>
        <w:t>【协会工作】</w:t>
      </w:r>
    </w:p>
    <w:p>
      <w:pPr>
        <w:spacing w:line="520" w:lineRule="exact"/>
        <w:jc w:val="center"/>
        <w:rPr>
          <w:rFonts w:ascii="黑体" w:hAnsi="Calibri" w:eastAsia="黑体"/>
          <w:b/>
          <w:bCs/>
          <w:sz w:val="32"/>
          <w:szCs w:val="32"/>
        </w:rPr>
      </w:pPr>
      <w:r>
        <w:rPr>
          <w:rFonts w:hint="eastAsia" w:ascii="黑体" w:hAnsi="Calibri" w:eastAsia="黑体" w:cs="黑体"/>
          <w:b/>
          <w:bCs/>
          <w:sz w:val="32"/>
          <w:szCs w:val="32"/>
        </w:rPr>
        <w:t>区建筑联合协会召开关于上海市在沪建筑业信用评价</w:t>
      </w:r>
    </w:p>
    <w:p>
      <w:pPr>
        <w:spacing w:line="520" w:lineRule="exact"/>
        <w:jc w:val="center"/>
        <w:rPr>
          <w:rFonts w:ascii="黑体" w:hAnsi="Calibri" w:eastAsia="黑体"/>
          <w:b/>
          <w:bCs/>
          <w:sz w:val="32"/>
          <w:szCs w:val="32"/>
        </w:rPr>
      </w:pPr>
      <w:r>
        <w:rPr>
          <w:rFonts w:hint="eastAsia" w:ascii="黑体" w:hAnsi="Calibri" w:eastAsia="黑体" w:cs="黑体"/>
          <w:b/>
          <w:bCs/>
          <w:sz w:val="32"/>
          <w:szCs w:val="32"/>
        </w:rPr>
        <w:t>管理办法和标准（</w:t>
      </w:r>
      <w:r>
        <w:rPr>
          <w:rFonts w:ascii="黑体" w:hAnsi="Calibri" w:eastAsia="黑体" w:cs="黑体"/>
          <w:b/>
          <w:bCs/>
          <w:sz w:val="32"/>
          <w:szCs w:val="32"/>
        </w:rPr>
        <w:t>2020</w:t>
      </w:r>
      <w:r>
        <w:rPr>
          <w:rFonts w:hint="eastAsia" w:ascii="黑体" w:hAnsi="Calibri" w:eastAsia="黑体" w:cs="黑体"/>
          <w:b/>
          <w:bCs/>
          <w:sz w:val="32"/>
          <w:szCs w:val="32"/>
        </w:rPr>
        <w:t>版）（征求意见稿）专题研讨会</w:t>
      </w:r>
    </w:p>
    <w:p>
      <w:pPr>
        <w:spacing w:line="520" w:lineRule="exact"/>
        <w:ind w:firstLine="31680" w:firstLineChars="200"/>
        <w:rPr>
          <w:rFonts w:ascii="仿宋_GB2312" w:hAnsi="Calibri" w:eastAsia="仿宋_GB2312"/>
          <w:sz w:val="28"/>
          <w:szCs w:val="28"/>
        </w:rPr>
      </w:pPr>
      <w:r>
        <w:rPr>
          <w:rFonts w:ascii="仿宋_GB2312" w:hAnsi="Calibri" w:eastAsia="仿宋_GB2312" w:cs="仿宋_GB2312"/>
          <w:sz w:val="28"/>
          <w:szCs w:val="28"/>
        </w:rPr>
        <w:t>5</w:t>
      </w:r>
      <w:r>
        <w:rPr>
          <w:rFonts w:hint="eastAsia" w:ascii="仿宋_GB2312" w:hAnsi="Calibri" w:eastAsia="仿宋_GB2312" w:cs="仿宋_GB2312"/>
          <w:sz w:val="28"/>
          <w:szCs w:val="28"/>
        </w:rPr>
        <w:t>月</w:t>
      </w:r>
      <w:r>
        <w:rPr>
          <w:rFonts w:ascii="仿宋_GB2312" w:hAnsi="Calibri" w:eastAsia="仿宋_GB2312" w:cs="仿宋_GB2312"/>
          <w:sz w:val="28"/>
          <w:szCs w:val="28"/>
        </w:rPr>
        <w:t>28</w:t>
      </w:r>
      <w:r>
        <w:rPr>
          <w:rFonts w:hint="eastAsia" w:ascii="仿宋_GB2312" w:hAnsi="Calibri" w:eastAsia="仿宋_GB2312" w:cs="仿宋_GB2312"/>
          <w:sz w:val="28"/>
          <w:szCs w:val="28"/>
        </w:rPr>
        <w:t>日上午，为</w:t>
      </w:r>
      <w:bookmarkStart w:id="0" w:name="_GoBack"/>
      <w:bookmarkEnd w:id="0"/>
      <w:r>
        <w:rPr>
          <w:rFonts w:hint="eastAsia" w:ascii="仿宋_GB2312" w:hAnsi="Calibri" w:eastAsia="仿宋_GB2312" w:cs="仿宋_GB2312"/>
          <w:sz w:val="28"/>
          <w:szCs w:val="28"/>
        </w:rPr>
        <w:t>促进建筑业信用体系良好运行，了解我区建筑业企业信用评价现状和问题，区建筑联合协会召开关于上海市在沪建筑业信用评价管理办法和标准（</w:t>
      </w:r>
      <w:r>
        <w:rPr>
          <w:rFonts w:ascii="仿宋_GB2312" w:hAnsi="Calibri" w:eastAsia="仿宋_GB2312" w:cs="仿宋_GB2312"/>
          <w:sz w:val="28"/>
          <w:szCs w:val="28"/>
        </w:rPr>
        <w:t>2020</w:t>
      </w:r>
      <w:r>
        <w:rPr>
          <w:rFonts w:hint="eastAsia" w:ascii="仿宋_GB2312" w:hAnsi="Calibri" w:eastAsia="仿宋_GB2312" w:cs="仿宋_GB2312"/>
          <w:sz w:val="28"/>
          <w:szCs w:val="28"/>
        </w:rPr>
        <w:t>版）（征求意见稿）专题研讨会，协会理事长张永新、秘书长朱强、各常务理事单位负责人共</w:t>
      </w:r>
      <w:r>
        <w:rPr>
          <w:rFonts w:ascii="仿宋_GB2312" w:hAnsi="Calibri" w:eastAsia="仿宋_GB2312" w:cs="仿宋_GB2312"/>
          <w:sz w:val="28"/>
          <w:szCs w:val="28"/>
        </w:rPr>
        <w:t>13</w:t>
      </w:r>
      <w:r>
        <w:rPr>
          <w:rFonts w:hint="eastAsia" w:ascii="仿宋_GB2312" w:hAnsi="Calibri" w:eastAsia="仿宋_GB2312" w:cs="仿宋_GB2312"/>
          <w:sz w:val="28"/>
          <w:szCs w:val="28"/>
        </w:rPr>
        <w:t>人参加本次会议，会议由协会秘书长朱强主持。</w:t>
      </w:r>
      <w:r>
        <w:rPr>
          <w:rFonts w:ascii="仿宋_GB2312" w:hAnsi="Calibri" w:eastAsia="仿宋_GB2312" w:cs="仿宋_GB2312"/>
          <w:sz w:val="28"/>
          <w:szCs w:val="28"/>
        </w:rPr>
        <w:t xml:space="preserve"> </w:t>
      </w:r>
    </w:p>
    <w:p>
      <w:pPr>
        <w:spacing w:line="520" w:lineRule="exact"/>
        <w:ind w:firstLine="31680" w:firstLineChars="200"/>
        <w:rPr>
          <w:rFonts w:ascii="仿宋_GB2312" w:hAnsi="Calibri" w:eastAsia="仿宋_GB2312"/>
          <w:sz w:val="28"/>
          <w:szCs w:val="28"/>
        </w:rPr>
      </w:pPr>
      <w:r>
        <w:rPr>
          <w:rFonts w:hint="eastAsia" w:ascii="仿宋_GB2312" w:hAnsi="Calibri" w:eastAsia="仿宋_GB2312" w:cs="仿宋_GB2312"/>
          <w:sz w:val="28"/>
          <w:szCs w:val="28"/>
        </w:rPr>
        <w:t>首先，朱秘书长就意见稿的重点和修改作了详细介绍和讲解，随后各常务理事结合自身情况展开了积极的讨论，气氛热烈，本次研讨会共总结了三点建议，协会将会把这三点建议，递交到上级管理单位，希望能完善在沪建筑业信用评价体系，同时提高我区信用评价的总体水平，提高我区各建筑业企业的整体竞争力。</w:t>
      </w: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（协会秘书处）</w:t>
      </w:r>
    </w:p>
    <w:p>
      <w:pPr>
        <w:spacing w:line="500" w:lineRule="exact"/>
        <w:ind w:firstLine="31680" w:firstLineChars="200"/>
        <w:rPr>
          <w:rFonts w:ascii="仿宋_GB2312" w:hAnsi="Calibri" w:eastAsia="仿宋_GB2312"/>
          <w:sz w:val="28"/>
          <w:szCs w:val="28"/>
        </w:rPr>
      </w:pPr>
    </w:p>
    <w:p>
      <w:pPr>
        <w:pStyle w:val="4"/>
        <w:spacing w:line="520" w:lineRule="exact"/>
        <w:rPr>
          <w:rFonts w:cs="Times New Roman"/>
        </w:rPr>
      </w:pPr>
      <w:r>
        <w:rPr>
          <w:rFonts w:hint="eastAsia" w:cs="黑体"/>
        </w:rPr>
        <w:t>【法律法规】</w:t>
      </w:r>
    </w:p>
    <w:p>
      <w:pPr>
        <w:spacing w:line="520" w:lineRule="exact"/>
        <w:jc w:val="center"/>
        <w:rPr>
          <w:rFonts w:ascii="仿宋_GB2312" w:hAnsi="Calibri" w:eastAsia="仿宋_GB2312"/>
          <w:sz w:val="28"/>
          <w:szCs w:val="28"/>
        </w:rPr>
      </w:pPr>
      <w:r>
        <w:rPr>
          <w:rFonts w:ascii="黑体" w:eastAsia="黑体" w:cs="黑体"/>
          <w:b/>
          <w:bCs/>
          <w:color w:val="000000"/>
          <w:sz w:val="32"/>
          <w:szCs w:val="32"/>
        </w:rPr>
        <w:t>[</w:t>
      </w:r>
      <w:r>
        <w:rPr>
          <w:rFonts w:hint="eastAsia" w:ascii="黑体" w:eastAsia="黑体" w:cs="黑体"/>
          <w:b/>
          <w:bCs/>
          <w:color w:val="000000"/>
          <w:sz w:val="32"/>
          <w:szCs w:val="32"/>
        </w:rPr>
        <w:t>住建部</w:t>
      </w:r>
      <w:r>
        <w:rPr>
          <w:rFonts w:ascii="黑体" w:eastAsia="黑体" w:cs="黑体"/>
          <w:b/>
          <w:bCs/>
          <w:color w:val="000000"/>
          <w:sz w:val="32"/>
          <w:szCs w:val="32"/>
        </w:rPr>
        <w:t>]</w:t>
      </w:r>
      <w:r>
        <w:rPr>
          <w:rFonts w:hint="eastAsia" w:ascii="黑体" w:eastAsia="黑体" w:cs="黑体"/>
          <w:b/>
          <w:bCs/>
          <w:color w:val="000000"/>
          <w:sz w:val="32"/>
          <w:szCs w:val="32"/>
        </w:rPr>
        <w:t>关于推进建筑垃圾减量化的指导意见</w:t>
      </w:r>
    </w:p>
    <w:p>
      <w:pPr>
        <w:spacing w:line="520" w:lineRule="exact"/>
        <w:jc w:val="center"/>
        <w:rPr>
          <w:rFonts w:ascii="仿宋_GB2312" w:hAnsi="Calibri" w:eastAsia="仿宋_GB2312"/>
        </w:rPr>
      </w:pPr>
      <w:r>
        <w:rPr>
          <w:rFonts w:hint="eastAsia" w:ascii="仿宋_GB2312" w:hAnsi="Calibri" w:eastAsia="仿宋_GB2312" w:cs="仿宋_GB2312"/>
        </w:rPr>
        <w:t>建质〔</w:t>
      </w:r>
      <w:r>
        <w:rPr>
          <w:rFonts w:ascii="仿宋_GB2312" w:hAnsi="Calibri" w:eastAsia="仿宋_GB2312" w:cs="仿宋_GB2312"/>
        </w:rPr>
        <w:t>2020</w:t>
      </w:r>
      <w:r>
        <w:rPr>
          <w:rFonts w:hint="eastAsia" w:ascii="仿宋_GB2312" w:hAnsi="Calibri" w:eastAsia="仿宋_GB2312" w:cs="仿宋_GB2312"/>
        </w:rPr>
        <w:t>〕</w:t>
      </w:r>
      <w:r>
        <w:rPr>
          <w:rFonts w:ascii="仿宋_GB2312" w:hAnsi="Calibri" w:eastAsia="仿宋_GB2312" w:cs="仿宋_GB2312"/>
        </w:rPr>
        <w:t>46</w:t>
      </w:r>
      <w:r>
        <w:rPr>
          <w:rFonts w:hint="eastAsia" w:ascii="仿宋_GB2312" w:hAnsi="Calibri" w:eastAsia="仿宋_GB2312" w:cs="仿宋_GB2312"/>
        </w:rPr>
        <w:t>号</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各省、自治区住房和城乡建设厅，直辖市住房和城乡建设（管）委，北京市规划和自然资源委，新疆生产建设兵团住房和城乡建设局：</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推进建筑垃圾减量化是建筑垃圾治理体系的重要内容，是节约资源、保护环境的重要举措。为做好建筑垃圾减量化工作，促进绿色建造和建筑业转型升级，现提出如下意见：</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一、总体要求</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（一）指导思想。</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以习近平新时代中国特色社会主义思想为指导，深入贯彻落实新发展理念，建立健全建筑垃圾减量化工作机制，加强建筑垃圾源头管控，推动工程建设生产组织模式转变，有效减少工程建设过程建筑垃圾产生和排放，不断推进工程建设可持续发展和城乡人居环境改善。</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（二）基本原则。</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1.</w:t>
      </w:r>
      <w:r>
        <w:rPr>
          <w:rFonts w:hint="eastAsia" w:ascii="仿宋_GB2312" w:hAnsi="Calibri" w:eastAsia="仿宋_GB2312" w:cs="仿宋_GB2312"/>
          <w:sz w:val="28"/>
          <w:szCs w:val="28"/>
        </w:rPr>
        <w:t>统筹规划，源头减量。统筹工程策划、设计、施工等阶段，从源头上预防和减少工程建设过程中建筑垃圾的产生，有效减少工程全寿命期的建筑垃圾排放。</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2.</w:t>
      </w:r>
      <w:r>
        <w:rPr>
          <w:rFonts w:hint="eastAsia" w:ascii="仿宋_GB2312" w:hAnsi="Calibri" w:eastAsia="仿宋_GB2312" w:cs="仿宋_GB2312"/>
          <w:sz w:val="28"/>
          <w:szCs w:val="28"/>
        </w:rPr>
        <w:t>因地制宜，系统推进。根据各地具体要求和工程项目实际情况，整合资源，制定计划，多措并举，系统推进建筑垃圾减量化工作。</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3.</w:t>
      </w:r>
      <w:r>
        <w:rPr>
          <w:rFonts w:hint="eastAsia" w:ascii="仿宋_GB2312" w:hAnsi="Calibri" w:eastAsia="仿宋_GB2312" w:cs="仿宋_GB2312"/>
          <w:sz w:val="28"/>
          <w:szCs w:val="28"/>
        </w:rPr>
        <w:t>创新驱动，精细管理。推动建筑垃圾减量化技术和管理创新，推行精细化设计和施工，实现施工现场建筑垃圾分类管控和再利用。</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（三）工作目标。</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2020</w:t>
      </w:r>
      <w:r>
        <w:rPr>
          <w:rFonts w:hint="eastAsia" w:ascii="仿宋_GB2312" w:hAnsi="Calibri" w:eastAsia="仿宋_GB2312" w:cs="仿宋_GB2312"/>
          <w:sz w:val="28"/>
          <w:szCs w:val="28"/>
        </w:rPr>
        <w:t>年底，各地区建筑垃圾减量化工作机制初步建立。</w:t>
      </w:r>
      <w:r>
        <w:rPr>
          <w:rFonts w:ascii="仿宋_GB2312" w:hAnsi="Calibri" w:eastAsia="仿宋_GB2312" w:cs="仿宋_GB2312"/>
          <w:sz w:val="28"/>
          <w:szCs w:val="28"/>
        </w:rPr>
        <w:t>2025</w:t>
      </w:r>
      <w:r>
        <w:rPr>
          <w:rFonts w:hint="eastAsia" w:ascii="仿宋_GB2312" w:hAnsi="Calibri" w:eastAsia="仿宋_GB2312" w:cs="仿宋_GB2312"/>
          <w:sz w:val="28"/>
          <w:szCs w:val="28"/>
        </w:rPr>
        <w:t>年底，各地区建筑垃圾减量化工作机制进一步完善，实现新建建筑施工现场建筑垃圾（不包括工程渣土、工程泥浆）排放量每万平方米不高于</w:t>
      </w:r>
      <w:r>
        <w:rPr>
          <w:rFonts w:ascii="仿宋_GB2312" w:hAnsi="Calibri" w:eastAsia="仿宋_GB2312" w:cs="仿宋_GB2312"/>
          <w:sz w:val="28"/>
          <w:szCs w:val="28"/>
        </w:rPr>
        <w:t>300</w:t>
      </w:r>
      <w:r>
        <w:rPr>
          <w:rFonts w:hint="eastAsia" w:ascii="仿宋_GB2312" w:hAnsi="Calibri" w:eastAsia="仿宋_GB2312" w:cs="仿宋_GB2312"/>
          <w:sz w:val="28"/>
          <w:szCs w:val="28"/>
        </w:rPr>
        <w:t>吨，装配式建筑施工现场建筑垃圾（不包括工程渣土、工程泥浆）排放量每万平方米不高于</w:t>
      </w:r>
      <w:r>
        <w:rPr>
          <w:rFonts w:ascii="仿宋_GB2312" w:hAnsi="Calibri" w:eastAsia="仿宋_GB2312" w:cs="仿宋_GB2312"/>
          <w:sz w:val="28"/>
          <w:szCs w:val="28"/>
        </w:rPr>
        <w:t>200</w:t>
      </w:r>
      <w:r>
        <w:rPr>
          <w:rFonts w:hint="eastAsia" w:ascii="仿宋_GB2312" w:hAnsi="Calibri" w:eastAsia="仿宋_GB2312" w:cs="仿宋_GB2312"/>
          <w:sz w:val="28"/>
          <w:szCs w:val="28"/>
        </w:rPr>
        <w:t>吨。</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二、主要措施</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（一）开展绿色策划。</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1.</w:t>
      </w:r>
      <w:r>
        <w:rPr>
          <w:rFonts w:hint="eastAsia" w:ascii="仿宋_GB2312" w:hAnsi="Calibri" w:eastAsia="仿宋_GB2312" w:cs="仿宋_GB2312"/>
          <w:sz w:val="28"/>
          <w:szCs w:val="28"/>
        </w:rPr>
        <w:t>落实企业主体责任。按照“谁产生、谁负责”的原则，落实建设单位建筑垃圾减量化的首要责任。建设单位应将建筑垃圾减量化目标和措施纳入招标文件和合同文本，将建筑垃圾减量化措施费纳入工程概算，并监督设计、施工、监理单位具体落实。</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2.</w:t>
      </w:r>
      <w:r>
        <w:rPr>
          <w:rFonts w:hint="eastAsia" w:ascii="仿宋_GB2312" w:hAnsi="Calibri" w:eastAsia="仿宋_GB2312" w:cs="仿宋_GB2312"/>
          <w:sz w:val="28"/>
          <w:szCs w:val="28"/>
        </w:rPr>
        <w:t>实施新型建造方式。大力发展装配式建筑，积极推广钢结构装配式住宅，推行工厂化预制、装配化施工、信息化管理的建造模式。鼓励创新设计、施工技术与装备，优先选用绿色建材，实行全装修交付，减少施工现场建筑垃圾的产生。在建设单位主导下，推进建筑信息模型（</w:t>
      </w:r>
      <w:r>
        <w:rPr>
          <w:rFonts w:ascii="仿宋_GB2312" w:hAnsi="Calibri" w:eastAsia="仿宋_GB2312" w:cs="仿宋_GB2312"/>
          <w:sz w:val="28"/>
          <w:szCs w:val="28"/>
        </w:rPr>
        <w:t>BIM</w:t>
      </w:r>
      <w:r>
        <w:rPr>
          <w:rFonts w:hint="eastAsia" w:ascii="仿宋_GB2312" w:hAnsi="Calibri" w:eastAsia="仿宋_GB2312" w:cs="仿宋_GB2312"/>
          <w:sz w:val="28"/>
          <w:szCs w:val="28"/>
        </w:rPr>
        <w:t>）等技术在工程设计和施工中的应用，减少设计中的“错漏碰缺”，辅助施工现场管理，提高资源利用率。</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3.</w:t>
      </w:r>
      <w:r>
        <w:rPr>
          <w:rFonts w:hint="eastAsia" w:ascii="仿宋_GB2312" w:hAnsi="Calibri" w:eastAsia="仿宋_GB2312" w:cs="仿宋_GB2312"/>
          <w:sz w:val="28"/>
          <w:szCs w:val="28"/>
        </w:rPr>
        <w:t>采用新型组织模式。推动工程建设组织方式改革，指导建设单位在工程项目中推行工程总承包和全过程工程咨询，推进建筑师负责制，加强设计与施工深度协同，构建有利于推进建筑垃圾减量化的组织模式。</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（二）实施绿色设计。</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4.</w:t>
      </w:r>
      <w:r>
        <w:rPr>
          <w:rFonts w:hint="eastAsia" w:ascii="仿宋_GB2312" w:hAnsi="Calibri" w:eastAsia="仿宋_GB2312" w:cs="仿宋_GB2312"/>
          <w:sz w:val="28"/>
          <w:szCs w:val="28"/>
        </w:rPr>
        <w:t>树立全寿命期理念。统筹考虑工程全寿命期的耐久性、可持续性，鼓励设计单位采用高强、高性能、高耐久性和可循环材料以及先进适用技术体系等开展工程设计。根据“模数统一、模块协同”原则，推进功能模块和部品构件标准化，减少异型和非标准部品构件。对改建扩建工程，鼓励充分利用原结构及满足要求的原机电设备。</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5.</w:t>
      </w:r>
      <w:r>
        <w:rPr>
          <w:rFonts w:hint="eastAsia" w:ascii="仿宋_GB2312" w:hAnsi="Calibri" w:eastAsia="仿宋_GB2312" w:cs="仿宋_GB2312"/>
          <w:sz w:val="28"/>
          <w:szCs w:val="28"/>
        </w:rPr>
        <w:t>提高设计质量。设计单位应根据地形地貌合理确定场地标高，开展土方平衡论证，减少渣土外运。选择适宜的结构体系，减少建筑形体不规则性。提倡建筑、结构、机电、装修、景观全专业一体化协同设计，保证设计深度满足施工需要，减少施工过程设计变更。</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（三）推广绿色施工。</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6.</w:t>
      </w:r>
      <w:r>
        <w:rPr>
          <w:rFonts w:hint="eastAsia" w:ascii="仿宋_GB2312" w:hAnsi="Calibri" w:eastAsia="仿宋_GB2312" w:cs="仿宋_GB2312"/>
          <w:sz w:val="28"/>
          <w:szCs w:val="28"/>
        </w:rPr>
        <w:t>编制专项方案。施工单位应组织编制施工现场建筑垃圾减量化专项方案，明确建筑垃圾减量化目标和职责分工，提出源头减量、分类管理、就地处置、排放控制的具体措施。</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7.</w:t>
      </w:r>
      <w:r>
        <w:rPr>
          <w:rFonts w:hint="eastAsia" w:ascii="仿宋_GB2312" w:hAnsi="Calibri" w:eastAsia="仿宋_GB2312" w:cs="仿宋_GB2312"/>
          <w:sz w:val="28"/>
          <w:szCs w:val="28"/>
        </w:rPr>
        <w:t>做好设计深化和施工组织优化。施工单位应结合工程加工、运输、安装方案和施工工艺要求，细化节点构造和具体做法。优化施工组织设计，合理确定施工工序，推行数字化加工和信息化管理，实现精准下料、精细管理，降低建筑材料损耗率。</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8.</w:t>
      </w:r>
      <w:r>
        <w:rPr>
          <w:rFonts w:hint="eastAsia" w:ascii="仿宋_GB2312" w:hAnsi="Calibri" w:eastAsia="仿宋_GB2312" w:cs="仿宋_GB2312"/>
          <w:sz w:val="28"/>
          <w:szCs w:val="28"/>
        </w:rPr>
        <w:t>强化施工质量管控。施工、监理等单位应严格按设计要求控制进场材料和设备的质量，严把施工质量关，强化各工序质量管控，减少因质量问题导致的返工或修补。加强对已完工工程的成品保护，避免二次损坏。</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9.</w:t>
      </w:r>
      <w:r>
        <w:rPr>
          <w:rFonts w:hint="eastAsia" w:ascii="仿宋_GB2312" w:hAnsi="Calibri" w:eastAsia="仿宋_GB2312" w:cs="仿宋_GB2312"/>
          <w:sz w:val="28"/>
          <w:szCs w:val="28"/>
        </w:rPr>
        <w:t>提高临时设施和周转材料的重复利用率。施工现场办公用房、宿舍、围挡、大门、工具棚、安全防护栏杆等推广采用重复利用率高的标准化设施。鼓励采用工具式脚手架和模板支撑体系，推广应用铝模板、金属防护网、金属通道板、拼装式道路板等周转材料。鼓励施工单位在一定区域范围内统筹临时设施和周转材料的调配。</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10.</w:t>
      </w:r>
      <w:r>
        <w:rPr>
          <w:rFonts w:hint="eastAsia" w:ascii="仿宋_GB2312" w:hAnsi="Calibri" w:eastAsia="仿宋_GB2312" w:cs="仿宋_GB2312"/>
          <w:sz w:val="28"/>
          <w:szCs w:val="28"/>
        </w:rPr>
        <w:t>推行临时设施和永久性设施的结合利用。施工单位应充分考虑施工用消防立管、消防水池、照明线路、道路、围挡等与永久性设施的结合利用，减少因拆除临时设施产生的建筑垃圾。</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11.</w:t>
      </w:r>
      <w:r>
        <w:rPr>
          <w:rFonts w:hint="eastAsia" w:ascii="仿宋_GB2312" w:hAnsi="Calibri" w:eastAsia="仿宋_GB2312" w:cs="仿宋_GB2312"/>
          <w:sz w:val="28"/>
          <w:szCs w:val="28"/>
        </w:rPr>
        <w:t>实行建筑垃圾分类管理。施工单位应建立建筑垃圾分类收集与存放管理制度，实行分类收集、分类存放、分类处置。鼓励以末端处置为导向对建筑垃圾细化分类。严禁将危险废物和生活垃圾混入建筑垃圾。</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12.</w:t>
      </w:r>
      <w:r>
        <w:rPr>
          <w:rFonts w:hint="eastAsia" w:ascii="仿宋_GB2312" w:hAnsi="Calibri" w:eastAsia="仿宋_GB2312" w:cs="仿宋_GB2312"/>
          <w:sz w:val="28"/>
          <w:szCs w:val="28"/>
        </w:rPr>
        <w:t>引导施工现场建筑垃圾再利用。施工单位应充分利用混凝土、钢筋、模板、珍珠岩保温材料等余料，在满足质量要求的前提下，根据实际需求加工制作成各类工程材料，实行循环利用。施工现场不具备就地利用条件的，应按规定及时转运到建筑垃圾处置场所进行资源化处置和再利用。</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13.</w:t>
      </w:r>
      <w:r>
        <w:rPr>
          <w:rFonts w:hint="eastAsia" w:ascii="仿宋_GB2312" w:hAnsi="Calibri" w:eastAsia="仿宋_GB2312" w:cs="仿宋_GB2312"/>
          <w:sz w:val="28"/>
          <w:szCs w:val="28"/>
        </w:rPr>
        <w:t>减少施工现场建筑垃圾排放。施工单位应实时统计并监控建筑垃圾产生量，及时采取针对性措施降低建筑垃圾排放量。鼓励采用现场泥沙分离、泥浆脱水预处理等工艺，减少工程渣土和工程泥浆排放。</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三、组织保障</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一）加强统筹管理。各省级住房和城乡建设主管部门要完善建筑垃圾减量化工作机制和政策措施，将建筑垃圾减量化纳入本地绿色发展和生态文明建设体系。地方各级环境卫生主管部门要统筹建立健全建筑垃圾治理体系，进一步加强建筑垃圾收集、运输、资源化利用和处置管理，推进建筑垃圾治理能力提升。</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（二）积极引导支持。地方各级住房和城乡建设主管部门要鼓励建筑垃圾减量化技术和管理创新，支持创新成果快速转化应用。确定建筑垃圾排放限额，对少排或零排放项目建立相应激励机制。</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（三）完善标准体系。各省级住房和城乡建设主管部门要加快制定完善施工现场建筑垃圾分类、收集、统计、处置和再生利用等相关标准，为减量化工作提供技术支撑。</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四）加强督促指导。地方各级住房和城乡建设主管部门要将建筑垃圾减量化纳入文明施工内容，鼓励建立施工现场建筑垃圾排放量公示制度。落实建筑垃圾减量化指导手册，开展建筑垃圾减量化项目示范引领，促进建筑垃圾减量化经验交流。</w:t>
      </w:r>
    </w:p>
    <w:p>
      <w:pPr>
        <w:spacing w:line="520" w:lineRule="exact"/>
        <w:ind w:firstLine="570"/>
        <w:rPr>
          <w:rFonts w:ascii="仿宋_GB2312" w:hAnsi="Calibri" w:eastAsia="仿宋_GB2312"/>
          <w:sz w:val="28"/>
          <w:szCs w:val="28"/>
        </w:rPr>
      </w:pPr>
      <w:r>
        <w:rPr>
          <w:rFonts w:hint="eastAsia" w:ascii="仿宋_GB2312" w:hAnsi="Calibri" w:eastAsia="仿宋_GB2312" w:cs="仿宋_GB2312"/>
          <w:sz w:val="28"/>
          <w:szCs w:val="28"/>
        </w:rPr>
        <w:t>（五）加大宣传力度。地方各级住房和城乡建设主管部门要充分发挥舆论导向和媒体监督作用，广泛宣传建筑垃圾减量化的重要性，普及建筑垃圾减量化和现场再利用的基础知识，增强参建单位和人员的资源节约意识、环保意识。</w:t>
      </w:r>
    </w:p>
    <w:p>
      <w:pPr>
        <w:spacing w:line="520" w:lineRule="exact"/>
        <w:ind w:firstLine="570"/>
        <w:rPr>
          <w:rFonts w:ascii="仿宋_GB2312" w:hAnsi="Calibri" w:eastAsia="仿宋_GB2312"/>
          <w:sz w:val="28"/>
          <w:szCs w:val="28"/>
        </w:rPr>
      </w:pPr>
    </w:p>
    <w:p>
      <w:pPr>
        <w:spacing w:line="480" w:lineRule="exact"/>
        <w:jc w:val="center"/>
        <w:rPr>
          <w:rFonts w:ascii="黑体" w:eastAsia="黑体"/>
          <w:b/>
          <w:bCs/>
          <w:color w:val="000000"/>
          <w:sz w:val="32"/>
          <w:szCs w:val="32"/>
        </w:rPr>
      </w:pPr>
      <w:r>
        <w:rPr>
          <w:rFonts w:ascii="黑体" w:eastAsia="黑体" w:cs="黑体"/>
          <w:b/>
          <w:bCs/>
          <w:color w:val="000000"/>
          <w:sz w:val="32"/>
          <w:szCs w:val="32"/>
        </w:rPr>
        <w:t xml:space="preserve"> [</w:t>
      </w:r>
      <w:r>
        <w:rPr>
          <w:rFonts w:hint="eastAsia" w:ascii="黑体" w:eastAsia="黑体" w:cs="黑体"/>
          <w:b/>
          <w:bCs/>
          <w:color w:val="000000"/>
          <w:sz w:val="32"/>
          <w:szCs w:val="32"/>
        </w:rPr>
        <w:t>最高院</w:t>
      </w:r>
      <w:r>
        <w:rPr>
          <w:rFonts w:ascii="黑体" w:eastAsia="黑体" w:cs="黑体"/>
          <w:b/>
          <w:bCs/>
          <w:color w:val="000000"/>
          <w:sz w:val="32"/>
          <w:szCs w:val="32"/>
        </w:rPr>
        <w:t>]</w:t>
      </w:r>
      <w:r>
        <w:rPr>
          <w:rFonts w:hint="eastAsia" w:ascii="黑体" w:eastAsia="黑体" w:cs="黑体"/>
          <w:b/>
          <w:bCs/>
          <w:color w:val="000000"/>
          <w:sz w:val="32"/>
          <w:szCs w:val="32"/>
        </w:rPr>
        <w:t>印发《关于依法妥善审理涉新冠肺炎疫情民事案件</w:t>
      </w:r>
    </w:p>
    <w:p>
      <w:pPr>
        <w:spacing w:line="480" w:lineRule="exact"/>
        <w:jc w:val="center"/>
        <w:rPr>
          <w:rFonts w:ascii="黑体" w:eastAsia="黑体"/>
          <w:b/>
          <w:bCs/>
          <w:color w:val="000000"/>
          <w:sz w:val="32"/>
          <w:szCs w:val="32"/>
        </w:rPr>
      </w:pPr>
      <w:r>
        <w:rPr>
          <w:rFonts w:hint="eastAsia" w:ascii="黑体" w:eastAsia="黑体" w:cs="黑体"/>
          <w:b/>
          <w:bCs/>
          <w:color w:val="000000"/>
          <w:sz w:val="32"/>
          <w:szCs w:val="32"/>
        </w:rPr>
        <w:t>若干问题的指导意见（二）》的通知</w:t>
      </w:r>
      <w:r>
        <w:rPr>
          <w:rFonts w:ascii="黑体" w:eastAsia="黑体" w:cs="黑体"/>
          <w:b/>
          <w:bCs/>
          <w:color w:val="000000"/>
          <w:sz w:val="32"/>
          <w:szCs w:val="32"/>
        </w:rPr>
        <w:t xml:space="preserve"> </w:t>
      </w:r>
      <w:r>
        <w:rPr>
          <w:rFonts w:hint="eastAsia" w:ascii="黑体" w:eastAsia="黑体" w:cs="黑体"/>
          <w:b/>
          <w:bCs/>
          <w:color w:val="000000"/>
          <w:sz w:val="32"/>
          <w:szCs w:val="32"/>
        </w:rPr>
        <w:t>法发〔</w:t>
      </w:r>
      <w:r>
        <w:rPr>
          <w:rFonts w:ascii="黑体" w:eastAsia="黑体" w:cs="黑体"/>
          <w:b/>
          <w:bCs/>
          <w:color w:val="000000"/>
          <w:sz w:val="32"/>
          <w:szCs w:val="32"/>
        </w:rPr>
        <w:t>2020</w:t>
      </w:r>
      <w:r>
        <w:rPr>
          <w:rFonts w:hint="eastAsia" w:ascii="黑体" w:eastAsia="黑体" w:cs="黑体"/>
          <w:b/>
          <w:bCs/>
          <w:color w:val="000000"/>
          <w:sz w:val="32"/>
          <w:szCs w:val="32"/>
        </w:rPr>
        <w:t>〕</w:t>
      </w:r>
      <w:r>
        <w:rPr>
          <w:rFonts w:ascii="黑体" w:eastAsia="黑体" w:cs="黑体"/>
          <w:b/>
          <w:bCs/>
          <w:color w:val="000000"/>
          <w:sz w:val="32"/>
          <w:szCs w:val="32"/>
        </w:rPr>
        <w:t>17</w:t>
      </w:r>
      <w:r>
        <w:rPr>
          <w:rFonts w:hint="eastAsia" w:ascii="黑体" w:eastAsia="黑体" w:cs="黑体"/>
          <w:b/>
          <w:bCs/>
          <w:color w:val="000000"/>
          <w:sz w:val="32"/>
          <w:szCs w:val="32"/>
        </w:rPr>
        <w:t>号</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各省、自治区、直辖市高级人民法院，解放军军事法院，新疆维吾尔自治区高级人民法院生产建设兵团分院：</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现将《最高人民法院关于依法妥善审理涉新冠肺炎疫情民事案件若干问题的指导意见（二）》印发给你们，请认真贯彻执行。</w:t>
      </w:r>
    </w:p>
    <w:p>
      <w:pPr>
        <w:spacing w:line="520" w:lineRule="exact"/>
        <w:jc w:val="right"/>
        <w:rPr>
          <w:rFonts w:ascii="仿宋_GB2312" w:hAnsi="Calibri" w:eastAsia="仿宋_GB2312"/>
          <w:sz w:val="28"/>
          <w:szCs w:val="28"/>
        </w:rPr>
      </w:pPr>
      <w:r>
        <w:rPr>
          <w:rFonts w:hint="eastAsia" w:ascii="仿宋_GB2312" w:hAnsi="Calibri" w:eastAsia="仿宋_GB2312" w:cs="仿宋_GB2312"/>
          <w:sz w:val="28"/>
          <w:szCs w:val="28"/>
        </w:rPr>
        <w:t>最高人民法院</w:t>
      </w:r>
    </w:p>
    <w:p>
      <w:pPr>
        <w:spacing w:line="520" w:lineRule="exact"/>
        <w:jc w:val="right"/>
        <w:rPr>
          <w:rFonts w:ascii="仿宋_GB2312" w:hAnsi="Calibri" w:eastAsia="仿宋_GB2312"/>
          <w:sz w:val="28"/>
          <w:szCs w:val="28"/>
        </w:rPr>
      </w:pPr>
      <w:r>
        <w:rPr>
          <w:rFonts w:ascii="仿宋_GB2312" w:hAnsi="Calibri" w:eastAsia="仿宋_GB2312" w:cs="仿宋_GB2312"/>
          <w:sz w:val="28"/>
          <w:szCs w:val="28"/>
        </w:rPr>
        <w:t>2020</w:t>
      </w:r>
      <w:r>
        <w:rPr>
          <w:rFonts w:hint="eastAsia" w:ascii="仿宋_GB2312" w:hAnsi="Calibri" w:eastAsia="仿宋_GB2312" w:cs="仿宋_GB2312"/>
          <w:sz w:val="28"/>
          <w:szCs w:val="28"/>
        </w:rPr>
        <w:t>年</w:t>
      </w:r>
      <w:r>
        <w:rPr>
          <w:rFonts w:ascii="仿宋_GB2312" w:hAnsi="Calibri" w:eastAsia="仿宋_GB2312" w:cs="仿宋_GB2312"/>
          <w:sz w:val="28"/>
          <w:szCs w:val="28"/>
        </w:rPr>
        <w:t>5</w:t>
      </w:r>
      <w:r>
        <w:rPr>
          <w:rFonts w:hint="eastAsia" w:ascii="仿宋_GB2312" w:hAnsi="Calibri" w:eastAsia="仿宋_GB2312" w:cs="仿宋_GB2312"/>
          <w:sz w:val="28"/>
          <w:szCs w:val="28"/>
        </w:rPr>
        <w:t>月</w:t>
      </w:r>
      <w:r>
        <w:rPr>
          <w:rFonts w:ascii="仿宋_GB2312" w:hAnsi="Calibri" w:eastAsia="仿宋_GB2312" w:cs="仿宋_GB2312"/>
          <w:sz w:val="28"/>
          <w:szCs w:val="28"/>
        </w:rPr>
        <w:t>15</w:t>
      </w:r>
      <w:r>
        <w:rPr>
          <w:rFonts w:hint="eastAsia" w:ascii="仿宋_GB2312" w:hAnsi="Calibri" w:eastAsia="仿宋_GB2312" w:cs="仿宋_GB2312"/>
          <w:sz w:val="28"/>
          <w:szCs w:val="28"/>
        </w:rPr>
        <w:t>日</w:t>
      </w:r>
    </w:p>
    <w:p>
      <w:pPr>
        <w:spacing w:line="520" w:lineRule="exact"/>
        <w:jc w:val="center"/>
        <w:rPr>
          <w:rFonts w:ascii="仿宋_GB2312" w:hAnsi="Calibri" w:eastAsia="仿宋_GB2312"/>
          <w:sz w:val="28"/>
          <w:szCs w:val="28"/>
        </w:rPr>
      </w:pPr>
      <w:r>
        <w:rPr>
          <w:rFonts w:hint="eastAsia" w:ascii="仿宋_GB2312" w:hAnsi="Calibri" w:eastAsia="仿宋_GB2312" w:cs="仿宋_GB2312"/>
          <w:sz w:val="28"/>
          <w:szCs w:val="28"/>
        </w:rPr>
        <w:t>关于依法妥善审理涉新冠肺炎疫情民事案件若干问题的指导意见（二）</w:t>
      </w:r>
    </w:p>
    <w:p>
      <w:pPr>
        <w:spacing w:line="520" w:lineRule="exact"/>
        <w:rPr>
          <w:rFonts w:ascii="仿宋_GB2312" w:hAnsi="Calibri" w:eastAsia="仿宋_GB2312"/>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为进一步贯彻落实党中央关于统筹推进新冠肺炎疫情防控和经济社会发展工作部署，扎实做好“六稳”工作，落实“六保”任务，指导各级人民法院依法妥善审理涉新冠肺炎疫情合同、金融、破产等民事案件，提出如下指导意见。</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一、关于合同案件的审理</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1.</w:t>
      </w:r>
      <w:r>
        <w:rPr>
          <w:rFonts w:hint="eastAsia" w:ascii="仿宋_GB2312" w:hAnsi="Calibri" w:eastAsia="仿宋_GB2312" w:cs="仿宋_GB2312"/>
          <w:sz w:val="28"/>
          <w:szCs w:val="28"/>
        </w:rPr>
        <w:t>疫情或者疫情防控措施导致当事人不能按照约定的期限履行买卖合同或者履行成本增加，继续履行不影响合同目的实现，当事人请求解除合同的，人民法院不予支持。</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疫情或者疫情防控措施导致出卖人不能按照约定的期限完成订单或者交付货物，继续履行不能实现买受人的合同目的，买受人请求解除合同，返还已经支付的预付款或者定金的，人民法院应予支持；买受人请求出卖人承担违约责任的，人民法院不予支持。</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2.</w:t>
      </w:r>
      <w:r>
        <w:rPr>
          <w:rFonts w:hint="eastAsia" w:ascii="仿宋_GB2312" w:hAnsi="Calibri" w:eastAsia="仿宋_GB2312" w:cs="仿宋_GB2312"/>
          <w:sz w:val="28"/>
          <w:szCs w:val="28"/>
        </w:rPr>
        <w:t>买卖合同能够继续履行，但疫情或者疫情防控措施导致人工、原材料、物流等履约成本显著增加，或者导致产品大幅降价，继续履行合同对一方当事人明显不公平，受不利影响的当事人请求调整价款的，人民法院应当结合案件的实际情况，根据公平原则调整价款。疫情或者疫情防控措施导致出卖人不能按照约定的期限交货，或者导致买受人不能按照约定的期限付款，当事人请求变更履行期限的，人民法院应当结合案件的实际情况，根据公平原则变更履行期限。</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已经通过调整价款、变更履行期限等方式变更合同，当事人请求对方承担违约责任的，人民法院不予支持。</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3.</w:t>
      </w:r>
      <w:r>
        <w:rPr>
          <w:rFonts w:hint="eastAsia" w:ascii="仿宋_GB2312" w:hAnsi="Calibri" w:eastAsia="仿宋_GB2312" w:cs="仿宋_GB2312"/>
          <w:sz w:val="28"/>
          <w:szCs w:val="28"/>
        </w:rPr>
        <w:t>出卖人与买受人订立防疫物资买卖合同后，将防疫物资高价转卖他人致使合同不能履行，买受人请求将出卖人所得利润作为损失赔偿数额的，人民法院应予支持。因政府依法调用或者临时征用防疫物资，致使出卖人不能履行买卖合同，买受人请求出卖人承担违约责任的，人民法院不予支持。</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4.</w:t>
      </w:r>
      <w:r>
        <w:rPr>
          <w:rFonts w:hint="eastAsia" w:ascii="仿宋_GB2312" w:hAnsi="Calibri" w:eastAsia="仿宋_GB2312" w:cs="仿宋_GB2312"/>
          <w:sz w:val="28"/>
          <w:szCs w:val="28"/>
        </w:rPr>
        <w:t>疫情或者疫情防控措施导致出卖人不能按照商品房买卖合同约定的期限交付房屋，或者导致买受人不能按照约定的期限支付购房款，当事人请求解除合同，由对方当事人承担违约责任的，人民法院不予支持。但是，当事人请求变更履行期限的，人民法院应当结合案件的实际情况，根据公平原则进行变更。</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5.</w:t>
      </w:r>
      <w:r>
        <w:rPr>
          <w:rFonts w:hint="eastAsia" w:ascii="仿宋_GB2312" w:hAnsi="Calibri" w:eastAsia="仿宋_GB2312" w:cs="仿宋_GB2312"/>
          <w:sz w:val="28"/>
          <w:szCs w:val="28"/>
        </w:rPr>
        <w:t>承租房屋用于经营，疫情或者疫情防控措施导致承租人资金周转困难或者营业收入明显减少，出租人以承租人没有按照约定的期限支付租金为由请求解除租赁合同，由承租人承担违约责任的，人民法院不予支持。</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为展览、会议、庙会等特定目的而预订的临时场地租赁合同，疫情或者疫情防控措施导致该活动取消，承租人请求解除租赁合同，返还预付款或者定金的，人民法院应予支持。</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6.</w:t>
      </w:r>
      <w:r>
        <w:rPr>
          <w:rFonts w:hint="eastAsia" w:ascii="仿宋_GB2312" w:hAnsi="Calibri" w:eastAsia="仿宋_GB2312" w:cs="仿宋_GB2312"/>
          <w:sz w:val="28"/>
          <w:szCs w:val="28"/>
        </w:rPr>
        <w:t>承租国有企业房屋以及政府部门、高校、研究院所等行政事业单位房屋用于经营，受疫情或者疫情防控措施影响出现经营困难的服务业小微企业、个体工商户等承租人，请求出租人按照国家有关政策免除一定期限内的租金的，人民法院应予支持。</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承租非国有房屋用于经营，疫情或者疫情防控措施导致承租人没有营业收入或者营业收入明显减少，继续按照原租赁合同支付租金对其明显不公平，承租人请求减免租金、延长租期或者延期支付租金的，人民法院可以引导当事人参照有关租金减免的政策进行调解；调解不成的，应当结合案件的实际情况，根据公平原则变更合同。</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7.</w:t>
      </w:r>
      <w:r>
        <w:rPr>
          <w:rFonts w:hint="eastAsia" w:ascii="仿宋_GB2312" w:hAnsi="Calibri" w:eastAsia="仿宋_GB2312" w:cs="仿宋_GB2312"/>
          <w:sz w:val="28"/>
          <w:szCs w:val="28"/>
        </w:rPr>
        <w:t>疫情或者疫情防控措施导致承包方未能按照约定的工期完成施工，发包方请求承包方承担违约责任的，人民法院不予支持；承包方请求延长工期的，人民法院应当视疫情或者疫情防控措施对合同履行的影响程度酌情予以支持。</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疫情或者疫情防控措施导致人工、建材等成本大幅上涨，或者使承包方遭受人工费、设备租赁费等损失，继续履行合同对承包方明显不公平，承包方请求调整价款的，人民法院应当结合案件的实际情况，根据公平原则进行调整。</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8.</w:t>
      </w:r>
      <w:r>
        <w:rPr>
          <w:rFonts w:hint="eastAsia" w:ascii="仿宋_GB2312" w:hAnsi="Calibri" w:eastAsia="仿宋_GB2312" w:cs="仿宋_GB2312"/>
          <w:sz w:val="28"/>
          <w:szCs w:val="28"/>
        </w:rPr>
        <w:t>当事人订立的线下培训合同，受疫情或者疫情防控措施影响不能进行线下培训，能够通过线上培训、变更培训期限等方式实现合同目的，接受培训方请求解除的，人民法院不予支持；当事人请求通过线上培训、变更培训期限、调整培训费用等方式继续履行合同的，人民法院应当结合案件的实际情况，根据公平原则变更合同。</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受疫情或者疫情防控措施影响不能进行线下培训，通过线上培训方式不能实现合同目的，或者案件实际情况表明不宜进行线上培训，接受培训方请求解除合同的，人民法院应予支持。具有时限性要求的培训合同，变更培训期限不能实现合同目的，接受培训方请求解除合同的，人民法院应予支持。培训合同解除后，已经预交的培训费，应当根据接受培训的课时等情况全部或者部分予以返还。</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9.</w:t>
      </w:r>
      <w:r>
        <w:rPr>
          <w:rFonts w:hint="eastAsia" w:ascii="仿宋_GB2312" w:hAnsi="Calibri" w:eastAsia="仿宋_GB2312" w:cs="仿宋_GB2312"/>
          <w:sz w:val="28"/>
          <w:szCs w:val="28"/>
        </w:rPr>
        <w:t>限制民事行为能力人未经其监护人同意，参与网络付费游戏或者网络直播平台“打赏”等方式支出与其年龄、智力不相适应的款项，监护人请求网络服务提供者返还该款项的，人民法院应予支持。</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二、关于金融案件的审理</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10.</w:t>
      </w:r>
      <w:r>
        <w:rPr>
          <w:rFonts w:hint="eastAsia" w:ascii="仿宋_GB2312" w:hAnsi="Calibri" w:eastAsia="仿宋_GB2312" w:cs="仿宋_GB2312"/>
          <w:sz w:val="28"/>
          <w:szCs w:val="28"/>
        </w:rPr>
        <w:t>对于受疫情或者疫情防控措施影响较大的行业，以及具有发展前景但受疫情或者疫情防控措施影响暂遇困难的企业特别是中小微企业所涉金融借款纠纷，人民法院在审理中要充分考虑中国人民银行等五部门发布的《关于进一步强化金融支持防控新型冠状病毒感染肺炎疫情的通知》等系列金融支持政策：对金融机构违反金融支持政策提出的借款提前到期、单方解除合同等诉讼主张，人民法院不予支持；对金融机构收取的利息以及以咨询费、担保费等其他费用为名收取的变相利息，要严格依据国家再贷款再贴现等专项信贷优惠利率政策的规定，对超出部分不予支持；对因感染新冠肺炎住院治疗或者隔离人员、疫情防控需要隔离观察人员、参加疫情防控工作人员以及受疫情或者疫情防控措施影响暂时失去收入来源的人员所涉住房按揭、信用卡等个人还贷纠纷，人民法院应当结合案件的实际情况，根据公平原则变更还款期限。</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11.</w:t>
      </w:r>
      <w:r>
        <w:rPr>
          <w:rFonts w:hint="eastAsia" w:ascii="仿宋_GB2312" w:hAnsi="Calibri" w:eastAsia="仿宋_GB2312" w:cs="仿宋_GB2312"/>
          <w:sz w:val="28"/>
          <w:szCs w:val="28"/>
        </w:rPr>
        <w:t>防疫物资生产经营企业以其生产设备、原材料、半成品、产品等动产设定浮动抵押，抵押权人依照《中华人民共和国民事诉讼法》第一百九十六条的规定申请实现担保物权的，人民法院受理申请后，被申请人或者利害关系人能够证明实现抵押权将危及企业防疫物资生产经营的，可待疫情或者疫情防控措施影响因素消除后再行处理。</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12.</w:t>
      </w:r>
      <w:r>
        <w:rPr>
          <w:rFonts w:hint="eastAsia" w:ascii="仿宋_GB2312" w:hAnsi="Calibri" w:eastAsia="仿宋_GB2312" w:cs="仿宋_GB2312"/>
          <w:sz w:val="28"/>
          <w:szCs w:val="28"/>
        </w:rPr>
        <w:t>对于因疫情防控期间证券市场价格波动引发的股票质押和融资融券纠纷，应当区分不同情形处理：对于债权人为证券公司的场内股票质押和融资融券纠纷，人民法院可以参照中国证监会发布的有关政策，引导证券公司按照政策与不同客户群体协商解决纠纷；协商不成的，对于客户要求证券公司就违规强行平仓导致损失扩大部分承担赔偿责任的诉讼请求，依法予以支持。对于债权人为其他金融机构的场外股票质押纠纷，人民法院应当充分考虑股票质权实现对上市公司正常经营的影响，加强政策引导和各方利益协调，努力降低对证券市场的影响。</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13.</w:t>
      </w:r>
      <w:r>
        <w:rPr>
          <w:rFonts w:hint="eastAsia" w:ascii="仿宋_GB2312" w:hAnsi="Calibri" w:eastAsia="仿宋_GB2312" w:cs="仿宋_GB2312"/>
          <w:sz w:val="28"/>
          <w:szCs w:val="28"/>
        </w:rPr>
        <w:t>人民法院审理因上市公司虚假陈述侵权民事赔偿案件，在认定投资者损失数额时，应当根据《最高人民法院关于审理证券市场因虚假陈述引发的民事赔偿案件的若干规定》第十九条第四项的规定，区分疫情或者疫情防控措施影响因素和虚假陈述因素所导致的股价下跌损失，依法公平、合理确定损失赔偿范围。</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14.</w:t>
      </w:r>
      <w:r>
        <w:rPr>
          <w:rFonts w:hint="eastAsia" w:ascii="仿宋_GB2312" w:hAnsi="Calibri" w:eastAsia="仿宋_GB2312" w:cs="仿宋_GB2312"/>
          <w:sz w:val="28"/>
          <w:szCs w:val="28"/>
        </w:rPr>
        <w:t>对于批发零售、住宿餐饮、物流运输、文化旅游等受疫情或者疫情防控措施影响严重的公司或者其股东、实际控制人与投资方因履行“业绩对赌协议”引发的纠纷，人民法院应当充分考虑疫情或者疫情防控措施对目标公司业绩影响的实际情况，引导双方当事人协商变更或者解除合同。当事人协商不成，按约定的业绩标准或者业绩补偿数额继续履行对一方当事人明显不公平的，人民法院应当结合案件的实际情况，根据公平原则变更或者解除合同；解除合同的，应当依法合理分配因合同解除造成的损失。</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“业绩对赌协议”未明确约定公司中小股东与控股股东或者实际控制人就业绩补偿承担连带责任的，对投资方要求中小股东与公司、控制股东或实际控制人共同向其承担连带责任的诉讼请求，人民法院不予支持。</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15.</w:t>
      </w:r>
      <w:r>
        <w:rPr>
          <w:rFonts w:hint="eastAsia" w:ascii="仿宋_GB2312" w:hAnsi="Calibri" w:eastAsia="仿宋_GB2312" w:cs="仿宋_GB2312"/>
          <w:sz w:val="28"/>
          <w:szCs w:val="28"/>
        </w:rPr>
        <w:t>在审理与疫情或者疫情防控措施相关的医疗保险合同纠纷案件时，对于保险人提出的该疾病不属于商业医疗保险合同约定的重大疾病范围或者保险事故的抗辩，人民法院不予支持。感染新冠肺炎的被保险人因疫情或者疫情防控措施未在保险合同约定的医疗服务机构接受治疗发生的约定费用，被保险人、受益人依据保险合同的约定向保险人请求赔付的，人民法院应予支持。被保险人因其他疾病在非保险合同约定的医疗服务机构接受治疗发生的约定费用，确系疫情或者疫情防控措施等客观原因造成，被保险人、受益人请求赔付的，人民法院应予支持。被保险人、受益人根据疫情防控期间保险公司赠与的医疗保险合同的约定请求赔付的，人民法院应予支持。</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16.</w:t>
      </w:r>
      <w:r>
        <w:rPr>
          <w:rFonts w:hint="eastAsia" w:ascii="仿宋_GB2312" w:hAnsi="Calibri" w:eastAsia="仿宋_GB2312" w:cs="仿宋_GB2312"/>
          <w:sz w:val="28"/>
          <w:szCs w:val="28"/>
        </w:rPr>
        <w:t>在审理融资租赁公司与医疗服务机构之间开展的医疗设备融资租赁业务所引发的民事纠纷案件时，对于医疗服务机构以融资租赁公司未取得医疗器械销售行政许可为由主张融资租赁合同无效的抗辩，人民法院不予支持。</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三、关于破产案件的审理</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17.</w:t>
      </w:r>
      <w:r>
        <w:rPr>
          <w:rFonts w:hint="eastAsia" w:ascii="仿宋_GB2312" w:hAnsi="Calibri" w:eastAsia="仿宋_GB2312" w:cs="仿宋_GB2312"/>
          <w:sz w:val="28"/>
          <w:szCs w:val="28"/>
        </w:rPr>
        <w:t>企业受疫情或者疫情防控措施影响不能清偿到期债务，债权人提出破产申请的，人民法院应当积极引导债务人与债权人进行协商，通过采取分期付款、延长债务履行期限、变更合同价款等方式消除破产申请原因，或者引导债务人通过庭外调解、庭外重组、预重整等方式化解债务危机，实现对企业尽早挽救。</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18.</w:t>
      </w:r>
      <w:r>
        <w:rPr>
          <w:rFonts w:hint="eastAsia" w:ascii="仿宋_GB2312" w:hAnsi="Calibri" w:eastAsia="仿宋_GB2312" w:cs="仿宋_GB2312"/>
          <w:sz w:val="28"/>
          <w:szCs w:val="28"/>
        </w:rPr>
        <w:t>人民法院在审查企业是否符合破产受理条件时，要注意审查企业陷入困境是否因疫情或者疫情防控措施所致而进行区别对待。对于疫情爆发前经营状况良好，因疫情或者疫情防控措施影响而导致经营、资金周转困难无法清偿到期债务的企业，要结合企业持续经营能力、所在行业的发展前景等因素全面判定企业清偿能力，防止简单依据特定时期的企业资金流和资产负债情况，裁定原本具备生存能力的企业进入破产程序。对于疫情爆发前已经陷入困境，因疫情或者疫情防控措施导致生产经营进一步恶化，确已具备破产原因的企业，应当依法及时受理破产申请，实现市场优胜劣汰和资源重新配置。</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19.</w:t>
      </w:r>
      <w:r>
        <w:rPr>
          <w:rFonts w:hint="eastAsia" w:ascii="仿宋_GB2312" w:hAnsi="Calibri" w:eastAsia="仿宋_GB2312" w:cs="仿宋_GB2312"/>
          <w:sz w:val="28"/>
          <w:szCs w:val="28"/>
        </w:rPr>
        <w:t>要进一步推进执行与破产程序的衔接。在执行程序中发现被执行人因疫情影响具备破产原因但具有挽救价值的，应当通过释明等方式引导债权人或者被执行人将案件转入破产审查，合理运用企业破产法规定的执行中止、保全解除、停息止付等制度，有效保全企业营运价值，为企业再生赢得空间。同时积极引导企业适用破产重整、和解程序，全面解决企业债务危机，公平有序清偿全体债权人，实现对困境企业的保护和拯救。</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执行法院作出移送决定前已经启动的司法拍卖程序，在移送决定作出后可以继续进行。拍卖成交的，拍卖标的不再纳入破产程序中债务人财产范围，但是拍卖所得价款应当按照破产程序依法进行分配。执行程序中已经作出资产评估报告或者审计报告，且评估结论在有效期内或者审计结论满足破产案件需要的，可以在破产程序中继续使用。</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20.</w:t>
      </w:r>
      <w:r>
        <w:rPr>
          <w:rFonts w:hint="eastAsia" w:ascii="仿宋_GB2312" w:hAnsi="Calibri" w:eastAsia="仿宋_GB2312" w:cs="仿宋_GB2312"/>
          <w:sz w:val="28"/>
          <w:szCs w:val="28"/>
        </w:rPr>
        <w:t>在破产重整程序中，对于因疫情或者疫情防控措施影响而无法招募投资人、开展尽职调查以及协商谈判等原因不能按期提出重整计划草案的，人民法院可以依债务人或者管理人的申请，根据疫情或者疫情防控措施对重整工作的实际影响程度，合理确定不应当计入企业破产法第七十九条规定期限的期间，但一般不得超过六个月。</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对于重整计划或者和解协议已经进入执行阶段，但债务人因疫情或者疫情防控措施影响而难以执行的，人民法院要积极引导当事人充分协商予以变更。协商变更重整计划或者和解协议的，按照《全国法院破产审判工作会议纪要》第</w:t>
      </w:r>
      <w:r>
        <w:rPr>
          <w:rFonts w:ascii="仿宋_GB2312" w:hAnsi="Calibri" w:eastAsia="仿宋_GB2312" w:cs="仿宋_GB2312"/>
          <w:sz w:val="28"/>
          <w:szCs w:val="28"/>
        </w:rPr>
        <w:t>19</w:t>
      </w:r>
      <w:r>
        <w:rPr>
          <w:rFonts w:hint="eastAsia" w:ascii="仿宋_GB2312" w:hAnsi="Calibri" w:eastAsia="仿宋_GB2312" w:cs="仿宋_GB2312"/>
          <w:sz w:val="28"/>
          <w:szCs w:val="28"/>
        </w:rPr>
        <w:t>条、第</w:t>
      </w:r>
      <w:r>
        <w:rPr>
          <w:rFonts w:ascii="仿宋_GB2312" w:hAnsi="Calibri" w:eastAsia="仿宋_GB2312" w:cs="仿宋_GB2312"/>
          <w:sz w:val="28"/>
          <w:szCs w:val="28"/>
        </w:rPr>
        <w:t>20</w:t>
      </w:r>
      <w:r>
        <w:rPr>
          <w:rFonts w:hint="eastAsia" w:ascii="仿宋_GB2312" w:hAnsi="Calibri" w:eastAsia="仿宋_GB2312" w:cs="仿宋_GB2312"/>
          <w:sz w:val="28"/>
          <w:szCs w:val="28"/>
        </w:rPr>
        <w:t>条的规定进行表决并提交法院批准。但是，仅涉及执行期限变更的，人民法院可以依债务人或债权人的申请直接作出裁定，延长的期限一般不得超过六个月。</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21.</w:t>
      </w:r>
      <w:r>
        <w:rPr>
          <w:rFonts w:hint="eastAsia" w:ascii="仿宋_GB2312" w:hAnsi="Calibri" w:eastAsia="仿宋_GB2312" w:cs="仿宋_GB2312"/>
          <w:sz w:val="28"/>
          <w:szCs w:val="28"/>
        </w:rPr>
        <w:t>要切实保障债权人的实体权利和程序权利，减少疫情或者疫情防控措施对债权人权利行使造成的不利影响。受疫情或者疫情防控措施影响案件的债权申报期限，可以根据具体情况采取法定最长期限。债权人确因疫情或者疫情防控措施影响无法按时申报债权或者提供有关证据资料，应当在障碍消除后十日内补充申报，补充申报人可以不承担审查和确认补充申报债权的费用。因疫情或者疫情防控措施影响，确有必要延期组织听证、召开债权人会议的，应当依法办理有关延期手续，管理人应当提前十五日告知债权人等相关主体，并做好解释说明工作。</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22.</w:t>
      </w:r>
      <w:r>
        <w:rPr>
          <w:rFonts w:hint="eastAsia" w:ascii="仿宋_GB2312" w:hAnsi="Calibri" w:eastAsia="仿宋_GB2312" w:cs="仿宋_GB2312"/>
          <w:sz w:val="28"/>
          <w:szCs w:val="28"/>
        </w:rPr>
        <w:t>要最大限度维护债务人的持续经营能力，充分发挥共益债务融资的制度功能，为持续经营提供资金支持。债务人企业具有继续经营的能力或者具备生产经营防疫物资条件的，人民法院应当积极引导和支持管理人或者债务人根据企业破产法第二十六条、第六十一条的规定继续债务人的营业，在保障债权人利益的基础上，选择适当的经营管理模式，充分运用府院协调机制，发掘、释放企业产能。</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坚持财产处置的价值最大化原则，积极引导管理人充分评估疫情或者疫情防控措施对资产处置价格的影响，准确把握处置时机和处置方式，避免因资产价值的不当贬损而影响债权人利益。</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23.</w:t>
      </w:r>
      <w:r>
        <w:rPr>
          <w:rFonts w:hint="eastAsia" w:ascii="仿宋_GB2312" w:hAnsi="Calibri" w:eastAsia="仿宋_GB2312" w:cs="仿宋_GB2312"/>
          <w:sz w:val="28"/>
          <w:szCs w:val="28"/>
        </w:rPr>
        <w:t>疫情防控期间，要根据《最高人民法院关于推进破产案件依法高效审理的意见》的要求，进一步推进信息化手段在破产公告通知、债权申报、债权人会议召开、债务人财产查询和处置、引进投资人等方面的深度应用，在加大信息公开和信息披露力度、依法保障债权人的知情权和参与权的基础上，助力疫情防控工作，进一步降低破产程序成本，提升破产程序效率。</w:t>
      </w:r>
      <w:r>
        <w:rPr>
          <w:rFonts w:ascii="仿宋_GB2312" w:hAnsi="Calibri" w:eastAsia="仿宋_GB2312" w:cs="仿宋_GB2312"/>
          <w:sz w:val="28"/>
          <w:szCs w:val="28"/>
        </w:rPr>
        <w:t xml:space="preserve">  </w:t>
      </w:r>
    </w:p>
    <w:p>
      <w:pPr>
        <w:spacing w:line="520" w:lineRule="exact"/>
      </w:pPr>
      <w:r>
        <w:rPr>
          <w:rFonts w:hint="eastAsia" w:cs="宋体"/>
        </w:rPr>
        <w:t>　</w:t>
      </w:r>
    </w:p>
    <w:p>
      <w:pPr>
        <w:pStyle w:val="4"/>
        <w:widowControl w:val="0"/>
        <w:snapToGrid w:val="0"/>
        <w:spacing w:line="240" w:lineRule="atLeast"/>
        <w:rPr>
          <w:rFonts w:ascii="黑体" w:cs="Times New Roman"/>
          <w:color w:val="000000"/>
        </w:rPr>
      </w:pPr>
      <w:r>
        <w:rPr>
          <w:rFonts w:hint="eastAsia" w:cs="黑体"/>
        </w:rPr>
        <w:t>【公示公告】</w:t>
      </w:r>
    </w:p>
    <w:p>
      <w:pPr>
        <w:snapToGrid w:val="0"/>
        <w:spacing w:line="240" w:lineRule="atLeast"/>
        <w:jc w:val="center"/>
        <w:rPr>
          <w:rFonts w:ascii="黑体" w:eastAsia="黑体"/>
          <w:b/>
          <w:bCs/>
          <w:color w:val="000000"/>
          <w:sz w:val="32"/>
          <w:szCs w:val="32"/>
        </w:rPr>
      </w:pPr>
      <w:r>
        <w:rPr>
          <w:rFonts w:hint="eastAsia" w:ascii="黑体" w:eastAsia="黑体" w:cs="黑体"/>
          <w:b/>
          <w:bCs/>
          <w:color w:val="000000"/>
          <w:sz w:val="32"/>
          <w:szCs w:val="32"/>
        </w:rPr>
        <w:t>金山区建筑管理所</w:t>
      </w:r>
      <w:r>
        <w:rPr>
          <w:rFonts w:ascii="黑体" w:eastAsia="黑体" w:cs="黑体"/>
          <w:b/>
          <w:bCs/>
          <w:color w:val="000000"/>
          <w:sz w:val="32"/>
          <w:szCs w:val="32"/>
        </w:rPr>
        <w:t>2020</w:t>
      </w:r>
      <w:r>
        <w:rPr>
          <w:rFonts w:hint="eastAsia" w:ascii="黑体" w:eastAsia="黑体" w:cs="黑体"/>
          <w:b/>
          <w:bCs/>
          <w:color w:val="000000"/>
          <w:sz w:val="32"/>
          <w:szCs w:val="32"/>
        </w:rPr>
        <w:t>年</w:t>
      </w:r>
      <w:r>
        <w:rPr>
          <w:rFonts w:ascii="黑体" w:eastAsia="黑体" w:cs="黑体"/>
          <w:b/>
          <w:bCs/>
          <w:color w:val="000000"/>
          <w:sz w:val="32"/>
          <w:szCs w:val="32"/>
        </w:rPr>
        <w:t>5</w:t>
      </w:r>
      <w:r>
        <w:rPr>
          <w:rFonts w:hint="eastAsia" w:ascii="黑体" w:eastAsia="黑体" w:cs="黑体"/>
          <w:b/>
          <w:bCs/>
          <w:color w:val="000000"/>
          <w:sz w:val="32"/>
          <w:szCs w:val="32"/>
        </w:rPr>
        <w:t>月份资质受理情况</w:t>
      </w:r>
    </w:p>
    <w:p>
      <w:pPr>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新资质审批（施工资质）</w:t>
      </w:r>
      <w:r>
        <w:rPr>
          <w:rFonts w:ascii="仿宋_GB2312" w:eastAsia="仿宋_GB2312" w:cs="仿宋_GB2312"/>
          <w:b/>
          <w:bCs/>
          <w:sz w:val="24"/>
          <w:szCs w:val="24"/>
        </w:rPr>
        <w:t>:10</w:t>
      </w:r>
      <w:r>
        <w:rPr>
          <w:rFonts w:hint="eastAsia" w:ascii="仿宋_GB2312" w:eastAsia="仿宋_GB2312" w:cs="仿宋_GB2312"/>
          <w:b/>
          <w:bCs/>
          <w:sz w:val="24"/>
          <w:szCs w:val="24"/>
        </w:rPr>
        <w:t>家</w:t>
      </w:r>
    </w:p>
    <w:tbl>
      <w:tblPr>
        <w:tblStyle w:val="30"/>
        <w:tblW w:w="90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1368"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jc w:val="center"/>
              <w:rPr>
                <w:rFonts w:ascii="仿宋_GB2312" w:eastAsia="仿宋_GB2312"/>
              </w:rPr>
            </w:pPr>
            <w:r>
              <w:rPr>
                <w:rFonts w:ascii="仿宋_GB2312" w:eastAsia="仿宋_GB2312" w:cs="仿宋_GB2312"/>
              </w:rPr>
              <w:t>2020-5-11</w:t>
            </w:r>
          </w:p>
        </w:tc>
        <w:tc>
          <w:tcPr>
            <w:tcW w:w="4200" w:type="dxa"/>
            <w:vAlign w:val="center"/>
          </w:tcPr>
          <w:p>
            <w:pPr>
              <w:jc w:val="center"/>
              <w:rPr>
                <w:rFonts w:ascii="仿宋_GB2312" w:eastAsia="仿宋_GB2312"/>
              </w:rPr>
            </w:pPr>
            <w:r>
              <w:rPr>
                <w:rFonts w:hint="eastAsia" w:ascii="仿宋_GB2312" w:eastAsia="仿宋_GB2312" w:cs="仿宋_GB2312"/>
              </w:rPr>
              <w:t>上海蓝欢建筑劳务有限公司</w:t>
            </w:r>
          </w:p>
        </w:tc>
        <w:tc>
          <w:tcPr>
            <w:tcW w:w="3453" w:type="dxa"/>
            <w:vAlign w:val="center"/>
          </w:tcPr>
          <w:p>
            <w:pPr>
              <w:jc w:val="center"/>
              <w:rPr>
                <w:rFonts w:ascii="仿宋_GB2312" w:eastAsia="仿宋_GB2312"/>
              </w:rPr>
            </w:pPr>
            <w:r>
              <w:rPr>
                <w:rFonts w:hint="eastAsia" w:ascii="仿宋_GB2312" w:eastAsia="仿宋_GB2312" w:cs="仿宋_GB2312"/>
              </w:rPr>
              <w:t>施工劳务企业资质不分级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jc w:val="center"/>
              <w:rPr>
                <w:rFonts w:ascii="仿宋_GB2312" w:eastAsia="仿宋_GB2312"/>
              </w:rPr>
            </w:pPr>
            <w:r>
              <w:rPr>
                <w:rFonts w:ascii="仿宋_GB2312" w:eastAsia="仿宋_GB2312" w:cs="仿宋_GB2312"/>
              </w:rPr>
              <w:t>2020-5-11</w:t>
            </w:r>
          </w:p>
        </w:tc>
        <w:tc>
          <w:tcPr>
            <w:tcW w:w="4200" w:type="dxa"/>
            <w:vAlign w:val="center"/>
          </w:tcPr>
          <w:p>
            <w:pPr>
              <w:jc w:val="center"/>
              <w:rPr>
                <w:rFonts w:ascii="仿宋_GB2312" w:eastAsia="仿宋_GB2312"/>
              </w:rPr>
            </w:pPr>
            <w:r>
              <w:rPr>
                <w:rFonts w:hint="eastAsia" w:ascii="仿宋_GB2312" w:eastAsia="仿宋_GB2312" w:cs="仿宋_GB2312"/>
              </w:rPr>
              <w:t>上海筑旭建设工程有限公司</w:t>
            </w:r>
          </w:p>
        </w:tc>
        <w:tc>
          <w:tcPr>
            <w:tcW w:w="3453" w:type="dxa"/>
            <w:vAlign w:val="center"/>
          </w:tcPr>
          <w:p>
            <w:pPr>
              <w:jc w:val="center"/>
              <w:rPr>
                <w:rFonts w:ascii="仿宋_GB2312" w:eastAsia="仿宋_GB2312"/>
              </w:rPr>
            </w:pPr>
            <w:r>
              <w:rPr>
                <w:rFonts w:hint="eastAsia" w:ascii="仿宋_GB2312" w:eastAsia="仿宋_GB2312" w:cs="仿宋_GB2312"/>
              </w:rPr>
              <w:t>市政公用工程三级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jc w:val="center"/>
              <w:rPr>
                <w:rFonts w:ascii="仿宋_GB2312" w:eastAsia="仿宋_GB2312"/>
              </w:rPr>
            </w:pPr>
            <w:r>
              <w:rPr>
                <w:rFonts w:ascii="仿宋_GB2312" w:eastAsia="仿宋_GB2312" w:cs="仿宋_GB2312"/>
              </w:rPr>
              <w:t>2020-5-11</w:t>
            </w:r>
          </w:p>
        </w:tc>
        <w:tc>
          <w:tcPr>
            <w:tcW w:w="4200" w:type="dxa"/>
            <w:vAlign w:val="center"/>
          </w:tcPr>
          <w:p>
            <w:pPr>
              <w:jc w:val="center"/>
              <w:rPr>
                <w:rFonts w:ascii="仿宋_GB2312" w:eastAsia="仿宋_GB2312"/>
              </w:rPr>
            </w:pPr>
            <w:r>
              <w:rPr>
                <w:rFonts w:hint="eastAsia" w:ascii="仿宋_GB2312" w:eastAsia="仿宋_GB2312" w:cs="仿宋_GB2312"/>
              </w:rPr>
              <w:t>上海左路电气设备安装维护有限公司</w:t>
            </w:r>
          </w:p>
        </w:tc>
        <w:tc>
          <w:tcPr>
            <w:tcW w:w="3453" w:type="dxa"/>
            <w:vAlign w:val="center"/>
          </w:tcPr>
          <w:p>
            <w:pPr>
              <w:jc w:val="center"/>
              <w:rPr>
                <w:rFonts w:ascii="仿宋_GB2312" w:eastAsia="仿宋_GB2312"/>
              </w:rPr>
            </w:pPr>
            <w:r>
              <w:rPr>
                <w:rFonts w:hint="eastAsia" w:ascii="仿宋_GB2312" w:eastAsia="仿宋_GB2312" w:cs="仿宋_GB2312"/>
              </w:rPr>
              <w:t>建筑机电安装工程三级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jc w:val="center"/>
              <w:rPr>
                <w:rFonts w:ascii="仿宋_GB2312" w:eastAsia="仿宋_GB2312"/>
              </w:rPr>
            </w:pPr>
            <w:r>
              <w:rPr>
                <w:rFonts w:ascii="仿宋_GB2312" w:eastAsia="仿宋_GB2312" w:cs="仿宋_GB2312"/>
              </w:rPr>
              <w:t>2020-5-11</w:t>
            </w:r>
          </w:p>
        </w:tc>
        <w:tc>
          <w:tcPr>
            <w:tcW w:w="4200" w:type="dxa"/>
            <w:vAlign w:val="center"/>
          </w:tcPr>
          <w:p>
            <w:pPr>
              <w:jc w:val="center"/>
              <w:rPr>
                <w:rFonts w:ascii="仿宋_GB2312" w:eastAsia="仿宋_GB2312"/>
              </w:rPr>
            </w:pPr>
            <w:r>
              <w:rPr>
                <w:rFonts w:hint="eastAsia" w:ascii="仿宋_GB2312" w:eastAsia="仿宋_GB2312" w:cs="仿宋_GB2312"/>
              </w:rPr>
              <w:t>上海奔河建筑装饰工程有限公司</w:t>
            </w:r>
          </w:p>
        </w:tc>
        <w:tc>
          <w:tcPr>
            <w:tcW w:w="3453" w:type="dxa"/>
            <w:vAlign w:val="center"/>
          </w:tcPr>
          <w:p>
            <w:pPr>
              <w:jc w:val="center"/>
              <w:rPr>
                <w:rFonts w:ascii="仿宋_GB2312" w:eastAsia="仿宋_GB2312"/>
              </w:rPr>
            </w:pPr>
            <w:r>
              <w:rPr>
                <w:rFonts w:hint="eastAsia" w:ascii="仿宋_GB2312" w:eastAsia="仿宋_GB2312" w:cs="仿宋_GB2312"/>
              </w:rPr>
              <w:t>防水防腐保温工程二级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jc w:val="center"/>
              <w:rPr>
                <w:rFonts w:ascii="仿宋_GB2312" w:eastAsia="仿宋_GB2312"/>
              </w:rPr>
            </w:pPr>
            <w:r>
              <w:rPr>
                <w:rFonts w:ascii="仿宋_GB2312" w:eastAsia="仿宋_GB2312" w:cs="仿宋_GB2312"/>
              </w:rPr>
              <w:t>2020-5-11</w:t>
            </w:r>
          </w:p>
        </w:tc>
        <w:tc>
          <w:tcPr>
            <w:tcW w:w="4200" w:type="dxa"/>
            <w:vAlign w:val="center"/>
          </w:tcPr>
          <w:p>
            <w:pPr>
              <w:jc w:val="center"/>
              <w:rPr>
                <w:rFonts w:ascii="仿宋_GB2312" w:eastAsia="仿宋_GB2312"/>
              </w:rPr>
            </w:pPr>
            <w:r>
              <w:rPr>
                <w:rFonts w:hint="eastAsia" w:ascii="仿宋_GB2312" w:eastAsia="仿宋_GB2312" w:cs="仿宋_GB2312"/>
              </w:rPr>
              <w:t>上海梦泰劳务派遣有限公司</w:t>
            </w:r>
          </w:p>
        </w:tc>
        <w:tc>
          <w:tcPr>
            <w:tcW w:w="3453" w:type="dxa"/>
            <w:vAlign w:val="center"/>
          </w:tcPr>
          <w:p>
            <w:pPr>
              <w:jc w:val="center"/>
              <w:rPr>
                <w:rFonts w:ascii="仿宋_GB2312" w:eastAsia="仿宋_GB2312"/>
              </w:rPr>
            </w:pPr>
            <w:r>
              <w:rPr>
                <w:rFonts w:hint="eastAsia" w:ascii="仿宋_GB2312" w:eastAsia="仿宋_GB2312" w:cs="仿宋_GB2312"/>
              </w:rPr>
              <w:t>施工劳务企业资质不分级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jc w:val="center"/>
              <w:rPr>
                <w:rFonts w:ascii="仿宋_GB2312" w:eastAsia="仿宋_GB2312"/>
              </w:rPr>
            </w:pPr>
            <w:r>
              <w:rPr>
                <w:rFonts w:ascii="仿宋_GB2312" w:eastAsia="仿宋_GB2312" w:cs="仿宋_GB2312"/>
              </w:rPr>
              <w:t>2020-5-11</w:t>
            </w:r>
          </w:p>
        </w:tc>
        <w:tc>
          <w:tcPr>
            <w:tcW w:w="4200" w:type="dxa"/>
            <w:vAlign w:val="center"/>
          </w:tcPr>
          <w:p>
            <w:pPr>
              <w:jc w:val="center"/>
              <w:rPr>
                <w:rFonts w:ascii="仿宋_GB2312" w:eastAsia="仿宋_GB2312"/>
              </w:rPr>
            </w:pPr>
            <w:r>
              <w:rPr>
                <w:rFonts w:hint="eastAsia" w:ascii="仿宋_GB2312" w:eastAsia="仿宋_GB2312" w:cs="仿宋_GB2312"/>
              </w:rPr>
              <w:t>上海鑫博环境工程有限公司</w:t>
            </w:r>
          </w:p>
        </w:tc>
        <w:tc>
          <w:tcPr>
            <w:tcW w:w="3453" w:type="dxa"/>
            <w:vAlign w:val="center"/>
          </w:tcPr>
          <w:p>
            <w:pPr>
              <w:jc w:val="center"/>
              <w:rPr>
                <w:rFonts w:ascii="仿宋_GB2312" w:eastAsia="仿宋_GB2312"/>
              </w:rPr>
            </w:pPr>
            <w:r>
              <w:rPr>
                <w:rFonts w:hint="eastAsia" w:ascii="仿宋_GB2312" w:eastAsia="仿宋_GB2312" w:cs="仿宋_GB2312"/>
              </w:rPr>
              <w:t>建筑机电安装工程三级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jc w:val="center"/>
              <w:rPr>
                <w:rFonts w:ascii="仿宋_GB2312" w:eastAsia="仿宋_GB2312"/>
              </w:rPr>
            </w:pPr>
            <w:r>
              <w:rPr>
                <w:rFonts w:ascii="仿宋_GB2312" w:eastAsia="仿宋_GB2312" w:cs="仿宋_GB2312"/>
              </w:rPr>
              <w:t>2020-5-11</w:t>
            </w:r>
          </w:p>
        </w:tc>
        <w:tc>
          <w:tcPr>
            <w:tcW w:w="4200" w:type="dxa"/>
            <w:vAlign w:val="center"/>
          </w:tcPr>
          <w:p>
            <w:pPr>
              <w:jc w:val="center"/>
              <w:rPr>
                <w:rFonts w:ascii="仿宋_GB2312" w:eastAsia="仿宋_GB2312"/>
              </w:rPr>
            </w:pPr>
            <w:r>
              <w:rPr>
                <w:rFonts w:hint="eastAsia" w:ascii="仿宋_GB2312" w:eastAsia="仿宋_GB2312" w:cs="仿宋_GB2312"/>
              </w:rPr>
              <w:t>上海晨赢自动化工程有限公司</w:t>
            </w:r>
          </w:p>
        </w:tc>
        <w:tc>
          <w:tcPr>
            <w:tcW w:w="3453" w:type="dxa"/>
            <w:vAlign w:val="center"/>
          </w:tcPr>
          <w:p>
            <w:pPr>
              <w:jc w:val="center"/>
              <w:rPr>
                <w:rFonts w:ascii="仿宋_GB2312" w:eastAsia="仿宋_GB2312"/>
              </w:rPr>
            </w:pPr>
            <w:r>
              <w:rPr>
                <w:rFonts w:hint="eastAsia" w:ascii="仿宋_GB2312" w:eastAsia="仿宋_GB2312" w:cs="仿宋_GB2312"/>
              </w:rPr>
              <w:t>施工劳务企业资质不分级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jc w:val="center"/>
              <w:rPr>
                <w:rFonts w:ascii="仿宋_GB2312" w:eastAsia="仿宋_GB2312"/>
              </w:rPr>
            </w:pPr>
            <w:r>
              <w:rPr>
                <w:rFonts w:ascii="仿宋_GB2312" w:eastAsia="仿宋_GB2312" w:cs="仿宋_GB2312"/>
              </w:rPr>
              <w:t>2020-5-11</w:t>
            </w:r>
          </w:p>
        </w:tc>
        <w:tc>
          <w:tcPr>
            <w:tcW w:w="4200" w:type="dxa"/>
            <w:vAlign w:val="center"/>
          </w:tcPr>
          <w:p>
            <w:pPr>
              <w:jc w:val="center"/>
              <w:rPr>
                <w:rFonts w:ascii="仿宋_GB2312" w:eastAsia="仿宋_GB2312"/>
              </w:rPr>
            </w:pPr>
            <w:r>
              <w:rPr>
                <w:rFonts w:hint="eastAsia" w:ascii="仿宋_GB2312" w:eastAsia="仿宋_GB2312" w:cs="仿宋_GB2312"/>
              </w:rPr>
              <w:t>上海盈影建筑工程有限公司</w:t>
            </w:r>
          </w:p>
        </w:tc>
        <w:tc>
          <w:tcPr>
            <w:tcW w:w="3453" w:type="dxa"/>
            <w:vAlign w:val="center"/>
          </w:tcPr>
          <w:p>
            <w:pPr>
              <w:jc w:val="center"/>
              <w:rPr>
                <w:rFonts w:ascii="仿宋_GB2312" w:eastAsia="仿宋_GB2312"/>
              </w:rPr>
            </w:pPr>
            <w:r>
              <w:rPr>
                <w:rFonts w:hint="eastAsia" w:ascii="仿宋_GB2312" w:eastAsia="仿宋_GB2312" w:cs="仿宋_GB2312"/>
              </w:rPr>
              <w:t>防水防腐保温工程二级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jc w:val="center"/>
              <w:rPr>
                <w:rFonts w:ascii="仿宋_GB2312" w:eastAsia="仿宋_GB2312"/>
              </w:rPr>
            </w:pPr>
            <w:r>
              <w:rPr>
                <w:rFonts w:ascii="仿宋_GB2312" w:eastAsia="仿宋_GB2312" w:cs="仿宋_GB2312"/>
              </w:rPr>
              <w:t>2020-5-11</w:t>
            </w:r>
          </w:p>
        </w:tc>
        <w:tc>
          <w:tcPr>
            <w:tcW w:w="4200" w:type="dxa"/>
            <w:vAlign w:val="center"/>
          </w:tcPr>
          <w:p>
            <w:pPr>
              <w:jc w:val="center"/>
              <w:rPr>
                <w:rFonts w:ascii="仿宋_GB2312" w:eastAsia="仿宋_GB2312"/>
              </w:rPr>
            </w:pPr>
            <w:r>
              <w:rPr>
                <w:rFonts w:hint="eastAsia" w:ascii="仿宋_GB2312" w:eastAsia="仿宋_GB2312" w:cs="仿宋_GB2312"/>
              </w:rPr>
              <w:t>普惠绿装（上海）建设工程有限公司</w:t>
            </w:r>
          </w:p>
        </w:tc>
        <w:tc>
          <w:tcPr>
            <w:tcW w:w="3453" w:type="dxa"/>
            <w:vAlign w:val="center"/>
          </w:tcPr>
          <w:p>
            <w:pPr>
              <w:jc w:val="center"/>
              <w:rPr>
                <w:rFonts w:ascii="仿宋_GB2312" w:eastAsia="仿宋_GB2312"/>
              </w:rPr>
            </w:pPr>
            <w:r>
              <w:rPr>
                <w:rFonts w:hint="eastAsia" w:ascii="仿宋_GB2312" w:eastAsia="仿宋_GB2312" w:cs="仿宋_GB2312"/>
              </w:rPr>
              <w:t>建筑装修装饰工程二级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jc w:val="center"/>
              <w:rPr>
                <w:rFonts w:ascii="仿宋_GB2312" w:eastAsia="仿宋_GB2312"/>
              </w:rPr>
            </w:pPr>
            <w:r>
              <w:rPr>
                <w:rFonts w:ascii="仿宋_GB2312" w:eastAsia="仿宋_GB2312" w:cs="仿宋_GB2312"/>
              </w:rPr>
              <w:t>2020-5-11</w:t>
            </w:r>
          </w:p>
        </w:tc>
        <w:tc>
          <w:tcPr>
            <w:tcW w:w="4200" w:type="dxa"/>
            <w:vAlign w:val="center"/>
          </w:tcPr>
          <w:p>
            <w:pPr>
              <w:jc w:val="center"/>
              <w:rPr>
                <w:rFonts w:ascii="仿宋_GB2312" w:eastAsia="仿宋_GB2312"/>
              </w:rPr>
            </w:pPr>
            <w:r>
              <w:rPr>
                <w:rFonts w:hint="eastAsia" w:ascii="仿宋_GB2312" w:eastAsia="仿宋_GB2312" w:cs="仿宋_GB2312"/>
              </w:rPr>
              <w:t>上海梵鸟建筑工程有限公司</w:t>
            </w:r>
          </w:p>
        </w:tc>
        <w:tc>
          <w:tcPr>
            <w:tcW w:w="3453" w:type="dxa"/>
            <w:vAlign w:val="center"/>
          </w:tcPr>
          <w:p>
            <w:pPr>
              <w:jc w:val="center"/>
              <w:rPr>
                <w:rFonts w:ascii="仿宋_GB2312" w:eastAsia="仿宋_GB2312"/>
              </w:rPr>
            </w:pPr>
            <w:r>
              <w:rPr>
                <w:rFonts w:hint="eastAsia" w:ascii="仿宋_GB2312" w:eastAsia="仿宋_GB2312" w:cs="仿宋_GB2312"/>
              </w:rPr>
              <w:t>施工劳务企业资质不分级</w:t>
            </w:r>
          </w:p>
        </w:tc>
      </w:tr>
    </w:tbl>
    <w:p>
      <w:pPr>
        <w:snapToGrid w:val="0"/>
        <w:spacing w:line="240" w:lineRule="atLeast"/>
        <w:textAlignment w:val="center"/>
        <w:rPr>
          <w:rFonts w:ascii="仿宋_GB2312" w:eastAsia="仿宋_GB2312"/>
          <w:b/>
          <w:bCs/>
          <w:sz w:val="24"/>
          <w:szCs w:val="24"/>
        </w:rPr>
      </w:pPr>
      <w:r>
        <w:rPr>
          <w:rFonts w:hint="eastAsia" w:ascii="仿宋_GB2312" w:eastAsia="仿宋_GB2312" w:cs="仿宋_GB2312"/>
          <w:b/>
          <w:bCs/>
          <w:sz w:val="24"/>
          <w:szCs w:val="24"/>
        </w:rPr>
        <w:t>增项企业（施工资质）</w:t>
      </w:r>
      <w:r>
        <w:rPr>
          <w:rFonts w:ascii="仿宋_GB2312" w:eastAsia="仿宋_GB2312" w:cs="仿宋_GB2312"/>
          <w:b/>
          <w:bCs/>
          <w:sz w:val="24"/>
          <w:szCs w:val="24"/>
        </w:rPr>
        <w:t>:0</w:t>
      </w:r>
      <w:r>
        <w:rPr>
          <w:rFonts w:hint="eastAsia" w:ascii="仿宋_GB2312" w:eastAsia="仿宋_GB2312" w:cs="仿宋_GB2312"/>
          <w:b/>
          <w:bCs/>
          <w:sz w:val="24"/>
          <w:szCs w:val="24"/>
        </w:rPr>
        <w:t>家</w:t>
      </w:r>
    </w:p>
    <w:tbl>
      <w:tblPr>
        <w:tblStyle w:val="30"/>
        <w:tblW w:w="902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trPr>
        <w:tc>
          <w:tcPr>
            <w:tcW w:w="1368"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368" w:type="dxa"/>
            <w:vAlign w:val="center"/>
          </w:tcPr>
          <w:p>
            <w:pPr>
              <w:jc w:val="center"/>
              <w:rPr>
                <w:rFonts w:ascii="仿宋_GB2312" w:eastAsia="仿宋_GB2312"/>
              </w:rPr>
            </w:pPr>
          </w:p>
        </w:tc>
        <w:tc>
          <w:tcPr>
            <w:tcW w:w="4200" w:type="dxa"/>
            <w:vAlign w:val="center"/>
          </w:tcPr>
          <w:p>
            <w:pPr>
              <w:jc w:val="center"/>
              <w:rPr>
                <w:rFonts w:ascii="仿宋_GB2312" w:eastAsia="仿宋_GB2312"/>
              </w:rPr>
            </w:pPr>
          </w:p>
        </w:tc>
        <w:tc>
          <w:tcPr>
            <w:tcW w:w="3453" w:type="dxa"/>
            <w:vAlign w:val="center"/>
          </w:tcPr>
          <w:p>
            <w:pPr>
              <w:jc w:val="center"/>
              <w:rPr>
                <w:rFonts w:ascii="仿宋_GB2312" w:eastAsia="仿宋_GB2312"/>
              </w:rPr>
            </w:pPr>
          </w:p>
        </w:tc>
      </w:tr>
    </w:tbl>
    <w:p>
      <w:pPr>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新资质审批（监理资质）</w:t>
      </w:r>
      <w:r>
        <w:rPr>
          <w:rFonts w:ascii="仿宋_GB2312" w:eastAsia="仿宋_GB2312" w:cs="仿宋_GB2312"/>
          <w:b/>
          <w:bCs/>
          <w:sz w:val="24"/>
          <w:szCs w:val="24"/>
        </w:rPr>
        <w:t>:0</w:t>
      </w:r>
      <w:r>
        <w:rPr>
          <w:rFonts w:hint="eastAsia" w:ascii="仿宋_GB2312" w:eastAsia="仿宋_GB2312" w:cs="仿宋_GB2312"/>
          <w:b/>
          <w:bCs/>
          <w:sz w:val="24"/>
          <w:szCs w:val="24"/>
        </w:rPr>
        <w:t>家</w:t>
      </w:r>
    </w:p>
    <w:tbl>
      <w:tblPr>
        <w:tblStyle w:val="30"/>
        <w:tblW w:w="902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trPr>
        <w:tc>
          <w:tcPr>
            <w:tcW w:w="1368"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68" w:type="dxa"/>
            <w:vAlign w:val="center"/>
          </w:tcPr>
          <w:p>
            <w:pPr>
              <w:spacing w:line="240" w:lineRule="atLeast"/>
              <w:jc w:val="center"/>
              <w:rPr>
                <w:rFonts w:ascii="仿宋_GB2312" w:eastAsia="仿宋_GB2312"/>
              </w:rPr>
            </w:pPr>
          </w:p>
        </w:tc>
        <w:tc>
          <w:tcPr>
            <w:tcW w:w="4200" w:type="dxa"/>
            <w:vAlign w:val="center"/>
          </w:tcPr>
          <w:p>
            <w:pPr>
              <w:spacing w:line="240" w:lineRule="atLeast"/>
              <w:jc w:val="center"/>
              <w:rPr>
                <w:rFonts w:ascii="仿宋_GB2312" w:eastAsia="仿宋_GB2312"/>
              </w:rPr>
            </w:pPr>
          </w:p>
        </w:tc>
        <w:tc>
          <w:tcPr>
            <w:tcW w:w="3453" w:type="dxa"/>
            <w:vAlign w:val="center"/>
          </w:tcPr>
          <w:p>
            <w:pPr>
              <w:spacing w:line="240" w:lineRule="atLeast"/>
              <w:jc w:val="center"/>
              <w:rPr>
                <w:rFonts w:ascii="仿宋_GB2312" w:eastAsia="仿宋_GB2312"/>
              </w:rPr>
            </w:pPr>
          </w:p>
        </w:tc>
      </w:tr>
    </w:tbl>
    <w:p>
      <w:pPr>
        <w:snapToGrid w:val="0"/>
        <w:spacing w:line="240" w:lineRule="atLeast"/>
        <w:rPr>
          <w:rFonts w:ascii="黑体" w:eastAsia="黑体"/>
          <w:b/>
          <w:bCs/>
          <w:sz w:val="32"/>
          <w:szCs w:val="32"/>
        </w:rPr>
        <w:sectPr>
          <w:headerReference r:id="rId3" w:type="default"/>
          <w:footerReference r:id="rId4" w:type="default"/>
          <w:pgSz w:w="11906" w:h="16838"/>
          <w:pgMar w:top="1440" w:right="1304" w:bottom="1440" w:left="1797" w:header="851" w:footer="992" w:gutter="0"/>
          <w:cols w:space="425" w:num="1"/>
          <w:docGrid w:linePitch="312" w:charSpace="0"/>
        </w:sectPr>
      </w:pPr>
    </w:p>
    <w:p>
      <w:pPr>
        <w:snapToGrid w:val="0"/>
        <w:spacing w:line="240" w:lineRule="atLeast"/>
        <w:jc w:val="center"/>
        <w:rPr>
          <w:rFonts w:ascii="黑体" w:eastAsia="黑体"/>
          <w:b/>
          <w:bCs/>
          <w:sz w:val="32"/>
          <w:szCs w:val="32"/>
        </w:rPr>
      </w:pPr>
    </w:p>
    <w:p>
      <w:pPr>
        <w:snapToGrid w:val="0"/>
        <w:spacing w:line="240" w:lineRule="atLeast"/>
        <w:jc w:val="center"/>
        <w:rPr>
          <w:rFonts w:ascii="黑体" w:eastAsia="黑体"/>
          <w:b/>
          <w:bCs/>
          <w:sz w:val="32"/>
          <w:szCs w:val="32"/>
        </w:rPr>
      </w:pPr>
      <w:r>
        <w:rPr>
          <w:rFonts w:ascii="黑体" w:eastAsia="黑体" w:cs="黑体"/>
          <w:b/>
          <w:bCs/>
          <w:sz w:val="32"/>
          <w:szCs w:val="32"/>
        </w:rPr>
        <w:t>2020</w:t>
      </w:r>
      <w:r>
        <w:rPr>
          <w:rFonts w:hint="eastAsia" w:ascii="黑体" w:eastAsia="黑体" w:cs="黑体"/>
          <w:b/>
          <w:bCs/>
          <w:sz w:val="32"/>
          <w:szCs w:val="32"/>
        </w:rPr>
        <w:t>年月</w:t>
      </w:r>
      <w:r>
        <w:rPr>
          <w:rFonts w:ascii="黑体" w:eastAsia="黑体" w:cs="黑体"/>
          <w:b/>
          <w:bCs/>
          <w:sz w:val="32"/>
          <w:szCs w:val="32"/>
        </w:rPr>
        <w:t>5</w:t>
      </w:r>
      <w:r>
        <w:rPr>
          <w:rFonts w:hint="eastAsia" w:ascii="黑体" w:eastAsia="黑体" w:cs="黑体"/>
          <w:b/>
          <w:bCs/>
          <w:sz w:val="32"/>
          <w:szCs w:val="32"/>
        </w:rPr>
        <w:t>金山区建设工程施工招投标项目清单</w:t>
      </w:r>
    </w:p>
    <w:p>
      <w:pPr>
        <w:snapToGrid w:val="0"/>
        <w:spacing w:line="240" w:lineRule="atLeast"/>
        <w:rPr>
          <w:rFonts w:ascii="黑体" w:eastAsia="黑体"/>
          <w:b/>
          <w:bCs/>
          <w:sz w:val="32"/>
          <w:szCs w:val="32"/>
        </w:rPr>
      </w:pPr>
    </w:p>
    <w:tbl>
      <w:tblPr>
        <w:tblStyle w:val="30"/>
        <w:tblW w:w="1417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1313"/>
        <w:gridCol w:w="673"/>
        <w:gridCol w:w="1906"/>
        <w:gridCol w:w="3623"/>
        <w:gridCol w:w="2361"/>
        <w:gridCol w:w="1484"/>
        <w:gridCol w:w="1093"/>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22"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序号</w:t>
            </w:r>
          </w:p>
        </w:tc>
        <w:tc>
          <w:tcPr>
            <w:tcW w:w="1313"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报建编号</w:t>
            </w:r>
          </w:p>
        </w:tc>
        <w:tc>
          <w:tcPr>
            <w:tcW w:w="673"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标段号</w:t>
            </w:r>
          </w:p>
        </w:tc>
        <w:tc>
          <w:tcPr>
            <w:tcW w:w="1906"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建设单位</w:t>
            </w:r>
          </w:p>
        </w:tc>
        <w:tc>
          <w:tcPr>
            <w:tcW w:w="3623"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项目名称</w:t>
            </w:r>
          </w:p>
        </w:tc>
        <w:tc>
          <w:tcPr>
            <w:tcW w:w="2361"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中标单位</w:t>
            </w:r>
          </w:p>
        </w:tc>
        <w:tc>
          <w:tcPr>
            <w:tcW w:w="1484"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中标价（万元）</w:t>
            </w:r>
          </w:p>
        </w:tc>
        <w:tc>
          <w:tcPr>
            <w:tcW w:w="1093"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中标面积（</w:t>
            </w:r>
            <w:r>
              <w:rPr>
                <w:rFonts w:hint="eastAsia" w:ascii="宋体" w:hAnsi="宋体" w:cs="宋体"/>
                <w:b/>
                <w:bCs/>
                <w:kern w:val="0"/>
              </w:rPr>
              <w:t>㎡</w:t>
            </w:r>
            <w:r>
              <w:rPr>
                <w:rFonts w:hint="eastAsia" w:ascii="仿宋_GB2312" w:hAnsi="仿宋_GB2312" w:eastAsia="仿宋_GB2312" w:cs="仿宋_GB2312"/>
                <w:b/>
                <w:bCs/>
                <w:kern w:val="0"/>
              </w:rPr>
              <w:t>）</w:t>
            </w:r>
          </w:p>
        </w:tc>
        <w:tc>
          <w:tcPr>
            <w:tcW w:w="1199"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招标方式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22" w:type="dxa"/>
            <w:vAlign w:val="center"/>
          </w:tcPr>
          <w:p>
            <w:pPr>
              <w:jc w:val="center"/>
              <w:rPr>
                <w:rFonts w:ascii="仿宋_GB2312" w:hAnsi="宋体" w:eastAsia="仿宋_GB2312"/>
                <w:kern w:val="0"/>
              </w:rPr>
            </w:pPr>
            <w:r>
              <w:rPr>
                <w:rFonts w:ascii="仿宋_GB2312" w:hAnsi="宋体" w:eastAsia="仿宋_GB2312" w:cs="仿宋_GB2312"/>
                <w:kern w:val="0"/>
              </w:rPr>
              <w:t>1</w:t>
            </w:r>
          </w:p>
        </w:tc>
        <w:tc>
          <w:tcPr>
            <w:tcW w:w="1313" w:type="dxa"/>
            <w:vAlign w:val="center"/>
          </w:tcPr>
          <w:p>
            <w:pPr>
              <w:jc w:val="center"/>
              <w:rPr>
                <w:rFonts w:ascii="仿宋_GB2312" w:hAnsi="宋体" w:eastAsia="仿宋_GB2312" w:cs="仿宋_GB2312"/>
                <w:kern w:val="0"/>
              </w:rPr>
            </w:pPr>
            <w:r>
              <w:rPr>
                <w:rFonts w:ascii="仿宋_GB2312" w:hAnsi="宋体" w:eastAsia="仿宋_GB2312" w:cs="仿宋_GB2312"/>
                <w:kern w:val="0"/>
              </w:rPr>
              <w:t>2002JS0021</w:t>
            </w:r>
          </w:p>
        </w:tc>
        <w:tc>
          <w:tcPr>
            <w:tcW w:w="673" w:type="dxa"/>
            <w:vAlign w:val="center"/>
          </w:tcPr>
          <w:p>
            <w:pPr>
              <w:jc w:val="center"/>
              <w:rPr>
                <w:rFonts w:ascii="仿宋_GB2312" w:hAnsi="宋体" w:eastAsia="仿宋_GB2312" w:cs="仿宋_GB2312"/>
                <w:kern w:val="0"/>
              </w:rPr>
            </w:pPr>
            <w:r>
              <w:rPr>
                <w:rFonts w:ascii="仿宋_GB2312" w:hAnsi="宋体" w:eastAsia="仿宋_GB2312" w:cs="仿宋_GB2312"/>
                <w:kern w:val="0"/>
              </w:rPr>
              <w:t>C01</w:t>
            </w:r>
          </w:p>
        </w:tc>
        <w:tc>
          <w:tcPr>
            <w:tcW w:w="1906" w:type="dxa"/>
            <w:vAlign w:val="center"/>
          </w:tcPr>
          <w:p>
            <w:pPr>
              <w:jc w:val="center"/>
              <w:rPr>
                <w:rFonts w:ascii="仿宋_GB2312" w:hAnsi="宋体" w:eastAsia="仿宋_GB2312"/>
                <w:kern w:val="0"/>
              </w:rPr>
            </w:pPr>
            <w:r>
              <w:rPr>
                <w:rFonts w:hint="eastAsia" w:ascii="仿宋_GB2312" w:hAnsi="宋体" w:eastAsia="仿宋_GB2312" w:cs="仿宋_GB2312"/>
                <w:kern w:val="0"/>
              </w:rPr>
              <w:t>上海市金山区吕巷镇人民政府</w:t>
            </w:r>
          </w:p>
        </w:tc>
        <w:tc>
          <w:tcPr>
            <w:tcW w:w="3623" w:type="dxa"/>
            <w:vAlign w:val="center"/>
          </w:tcPr>
          <w:p>
            <w:pPr>
              <w:jc w:val="center"/>
              <w:rPr>
                <w:rFonts w:ascii="仿宋_GB2312" w:hAnsi="宋体" w:eastAsia="仿宋_GB2312"/>
                <w:kern w:val="0"/>
              </w:rPr>
            </w:pPr>
            <w:r>
              <w:rPr>
                <w:rFonts w:hint="eastAsia" w:ascii="仿宋_GB2312" w:hAnsi="宋体" w:eastAsia="仿宋_GB2312" w:cs="仿宋_GB2312"/>
                <w:kern w:val="0"/>
              </w:rPr>
              <w:t>“四好农村路”吕巷镇干林路（新张泾桥</w:t>
            </w:r>
            <w:r>
              <w:rPr>
                <w:rFonts w:ascii="仿宋_GB2312" w:hAnsi="宋体" w:eastAsia="仿宋_GB2312" w:cs="仿宋_GB2312"/>
                <w:kern w:val="0"/>
              </w:rPr>
              <w:t>-</w:t>
            </w:r>
            <w:r>
              <w:rPr>
                <w:rFonts w:hint="eastAsia" w:ascii="仿宋_GB2312" w:hAnsi="宋体" w:eastAsia="仿宋_GB2312" w:cs="仿宋_GB2312"/>
                <w:kern w:val="0"/>
              </w:rPr>
              <w:t>陈泾河桥）提档升级工程</w:t>
            </w:r>
            <w:r>
              <w:rPr>
                <w:rFonts w:ascii="仿宋_GB2312" w:hAnsi="宋体" w:eastAsia="仿宋_GB2312" w:cs="仿宋_GB2312"/>
                <w:kern w:val="0"/>
              </w:rPr>
              <w:t xml:space="preserve">  </w:t>
            </w:r>
          </w:p>
        </w:tc>
        <w:tc>
          <w:tcPr>
            <w:tcW w:w="2361" w:type="dxa"/>
            <w:vAlign w:val="center"/>
          </w:tcPr>
          <w:p>
            <w:pPr>
              <w:jc w:val="center"/>
              <w:rPr>
                <w:rFonts w:ascii="仿宋_GB2312" w:hAnsi="宋体" w:eastAsia="仿宋_GB2312"/>
                <w:kern w:val="0"/>
              </w:rPr>
            </w:pPr>
            <w:r>
              <w:rPr>
                <w:rFonts w:hint="eastAsia" w:ascii="仿宋_GB2312" w:hAnsi="宋体" w:eastAsia="仿宋_GB2312" w:cs="仿宋_GB2312"/>
                <w:kern w:val="0"/>
              </w:rPr>
              <w:t>上海金山公路建设有限公司</w:t>
            </w:r>
          </w:p>
        </w:tc>
        <w:tc>
          <w:tcPr>
            <w:tcW w:w="1484" w:type="dxa"/>
            <w:vAlign w:val="center"/>
          </w:tcPr>
          <w:p>
            <w:pPr>
              <w:jc w:val="center"/>
              <w:rPr>
                <w:rFonts w:ascii="仿宋_GB2312" w:hAnsi="宋体" w:eastAsia="仿宋_GB2312"/>
                <w:kern w:val="0"/>
              </w:rPr>
            </w:pPr>
            <w:r>
              <w:rPr>
                <w:rFonts w:ascii="仿宋_GB2312" w:hAnsi="宋体" w:eastAsia="仿宋_GB2312" w:cs="仿宋_GB2312"/>
                <w:kern w:val="0"/>
              </w:rPr>
              <w:t>1808.1924</w:t>
            </w:r>
          </w:p>
        </w:tc>
        <w:tc>
          <w:tcPr>
            <w:tcW w:w="1093" w:type="dxa"/>
            <w:vAlign w:val="center"/>
          </w:tcPr>
          <w:p>
            <w:pPr>
              <w:jc w:val="center"/>
              <w:rPr>
                <w:rFonts w:ascii="仿宋_GB2312" w:hAnsi="宋体" w:eastAsia="仿宋_GB2312"/>
                <w:kern w:val="0"/>
              </w:rPr>
            </w:pPr>
            <w:r>
              <w:rPr>
                <w:rFonts w:ascii="仿宋_GB2312" w:hAnsi="宋体" w:eastAsia="仿宋_GB2312" w:cs="仿宋_GB2312"/>
                <w:kern w:val="0"/>
              </w:rPr>
              <w:t>0</w:t>
            </w:r>
          </w:p>
        </w:tc>
        <w:tc>
          <w:tcPr>
            <w:tcW w:w="1199" w:type="dxa"/>
            <w:vAlign w:val="center"/>
          </w:tcPr>
          <w:p>
            <w:pPr>
              <w:jc w:val="center"/>
              <w:rPr>
                <w:rFonts w:ascii="仿宋_GB2312" w:hAnsi="宋体" w:eastAsia="仿宋_GB2312"/>
                <w:kern w:val="0"/>
              </w:rPr>
            </w:pPr>
            <w:r>
              <w:rPr>
                <w:rFonts w:hint="eastAsia" w:ascii="仿宋_GB2312" w:hAnsi="宋体" w:eastAsia="仿宋_GB2312" w:cs="仿宋_GB2312"/>
                <w:kern w:val="0"/>
              </w:rPr>
              <w:t>公开招标</w:t>
            </w:r>
            <w:r>
              <w:rPr>
                <w:rFonts w:ascii="仿宋_GB2312" w:hAnsi="宋体" w:eastAsia="仿宋_GB2312" w:cs="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22" w:type="dxa"/>
            <w:vAlign w:val="center"/>
          </w:tcPr>
          <w:p>
            <w:pPr>
              <w:snapToGrid w:val="0"/>
              <w:spacing w:line="240" w:lineRule="atLeast"/>
              <w:jc w:val="center"/>
              <w:rPr>
                <w:rFonts w:ascii="仿宋_GB2312" w:hAnsi="宋体" w:eastAsia="仿宋_GB2312"/>
                <w:kern w:val="0"/>
              </w:rPr>
            </w:pPr>
            <w:r>
              <w:rPr>
                <w:rFonts w:ascii="仿宋_GB2312" w:hAnsi="宋体" w:eastAsia="仿宋_GB2312" w:cs="仿宋_GB2312"/>
                <w:kern w:val="0"/>
              </w:rPr>
              <w:t>2</w:t>
            </w:r>
          </w:p>
        </w:tc>
        <w:tc>
          <w:tcPr>
            <w:tcW w:w="1313" w:type="dxa"/>
            <w:vAlign w:val="center"/>
          </w:tcPr>
          <w:p>
            <w:pPr>
              <w:snapToGrid w:val="0"/>
              <w:spacing w:line="240" w:lineRule="atLeast"/>
              <w:jc w:val="center"/>
              <w:rPr>
                <w:rFonts w:ascii="仿宋_GB2312" w:hAnsi="宋体" w:eastAsia="仿宋_GB2312" w:cs="仿宋_GB2312"/>
                <w:kern w:val="0"/>
              </w:rPr>
            </w:pPr>
            <w:r>
              <w:rPr>
                <w:rFonts w:ascii="仿宋_GB2312" w:hAnsi="宋体" w:eastAsia="仿宋_GB2312" w:cs="仿宋_GB2312"/>
                <w:kern w:val="0"/>
              </w:rPr>
              <w:t xml:space="preserve"> 2002JS0011</w:t>
            </w:r>
          </w:p>
        </w:tc>
        <w:tc>
          <w:tcPr>
            <w:tcW w:w="673" w:type="dxa"/>
            <w:vAlign w:val="center"/>
          </w:tcPr>
          <w:p>
            <w:pPr>
              <w:snapToGrid w:val="0"/>
              <w:spacing w:line="240" w:lineRule="atLeast"/>
              <w:jc w:val="center"/>
              <w:rPr>
                <w:rFonts w:ascii="仿宋_GB2312" w:hAnsi="宋体" w:eastAsia="仿宋_GB2312" w:cs="仿宋_GB2312"/>
                <w:kern w:val="0"/>
              </w:rPr>
            </w:pPr>
            <w:r>
              <w:rPr>
                <w:rFonts w:ascii="仿宋_GB2312" w:hAnsi="宋体" w:eastAsia="仿宋_GB2312" w:cs="仿宋_GB2312"/>
                <w:kern w:val="0"/>
              </w:rPr>
              <w:t>C01</w:t>
            </w:r>
          </w:p>
        </w:tc>
        <w:tc>
          <w:tcPr>
            <w:tcW w:w="1906" w:type="dxa"/>
            <w:vAlign w:val="center"/>
          </w:tcPr>
          <w:p>
            <w:pPr>
              <w:snapToGrid w:val="0"/>
              <w:spacing w:line="240" w:lineRule="atLeast"/>
              <w:jc w:val="center"/>
              <w:rPr>
                <w:rFonts w:ascii="仿宋_GB2312" w:hAnsi="宋体" w:eastAsia="仿宋_GB2312"/>
                <w:kern w:val="0"/>
              </w:rPr>
            </w:pPr>
            <w:r>
              <w:rPr>
                <w:rFonts w:hint="eastAsia" w:ascii="仿宋_GB2312" w:hAnsi="宋体" w:eastAsia="仿宋_GB2312" w:cs="仿宋_GB2312"/>
                <w:kern w:val="0"/>
              </w:rPr>
              <w:t>上海城展置业有限公司</w:t>
            </w:r>
          </w:p>
        </w:tc>
        <w:tc>
          <w:tcPr>
            <w:tcW w:w="3623" w:type="dxa"/>
            <w:vAlign w:val="center"/>
          </w:tcPr>
          <w:p>
            <w:pPr>
              <w:snapToGrid w:val="0"/>
              <w:spacing w:line="240" w:lineRule="atLeast"/>
              <w:jc w:val="center"/>
              <w:rPr>
                <w:rFonts w:ascii="仿宋_GB2312" w:hAnsi="宋体" w:eastAsia="仿宋_GB2312"/>
                <w:kern w:val="0"/>
              </w:rPr>
            </w:pPr>
            <w:r>
              <w:rPr>
                <w:rFonts w:hint="eastAsia" w:ascii="仿宋_GB2312" w:hAnsi="宋体" w:eastAsia="仿宋_GB2312" w:cs="仿宋_GB2312"/>
                <w:kern w:val="0"/>
              </w:rPr>
              <w:t>金山区朱泾镇镇区</w:t>
            </w:r>
            <w:r>
              <w:rPr>
                <w:rFonts w:ascii="仿宋_GB2312" w:hAnsi="宋体" w:eastAsia="仿宋_GB2312" w:cs="仿宋_GB2312"/>
                <w:kern w:val="0"/>
              </w:rPr>
              <w:t>B18-03</w:t>
            </w:r>
            <w:r>
              <w:rPr>
                <w:rFonts w:hint="eastAsia" w:ascii="仿宋_GB2312" w:hAnsi="宋体" w:eastAsia="仿宋_GB2312" w:cs="仿宋_GB2312"/>
                <w:kern w:val="0"/>
              </w:rPr>
              <w:t>地块（“城中村”改造项目</w:t>
            </w:r>
            <w:r>
              <w:rPr>
                <w:rFonts w:ascii="仿宋_GB2312" w:hAnsi="宋体" w:eastAsia="仿宋_GB2312" w:cs="仿宋_GB2312"/>
                <w:kern w:val="0"/>
              </w:rPr>
              <w:t>-</w:t>
            </w:r>
            <w:r>
              <w:rPr>
                <w:rFonts w:hint="eastAsia" w:ascii="仿宋_GB2312" w:hAnsi="宋体" w:eastAsia="仿宋_GB2312" w:cs="仿宋_GB2312"/>
                <w:kern w:val="0"/>
              </w:rPr>
              <w:t>朱泾镇水上新村地块）</w:t>
            </w:r>
            <w:r>
              <w:rPr>
                <w:rFonts w:ascii="仿宋_GB2312" w:hAnsi="宋体" w:eastAsia="仿宋_GB2312" w:cs="仿宋_GB2312"/>
                <w:kern w:val="0"/>
              </w:rPr>
              <w:t xml:space="preserve">  </w:t>
            </w:r>
          </w:p>
        </w:tc>
        <w:tc>
          <w:tcPr>
            <w:tcW w:w="2361" w:type="dxa"/>
            <w:vAlign w:val="center"/>
          </w:tcPr>
          <w:p>
            <w:pPr>
              <w:snapToGrid w:val="0"/>
              <w:spacing w:line="240" w:lineRule="atLeast"/>
              <w:jc w:val="center"/>
              <w:rPr>
                <w:rFonts w:ascii="仿宋_GB2312" w:hAnsi="宋体" w:eastAsia="仿宋_GB2312"/>
                <w:kern w:val="0"/>
              </w:rPr>
            </w:pPr>
            <w:r>
              <w:rPr>
                <w:rFonts w:hint="eastAsia" w:ascii="仿宋_GB2312" w:hAnsi="宋体" w:eastAsia="仿宋_GB2312" w:cs="仿宋_GB2312"/>
                <w:kern w:val="0"/>
              </w:rPr>
              <w:t>上海建工七建集团有限公司</w:t>
            </w:r>
          </w:p>
        </w:tc>
        <w:tc>
          <w:tcPr>
            <w:tcW w:w="1484" w:type="dxa"/>
            <w:vAlign w:val="center"/>
          </w:tcPr>
          <w:p>
            <w:pPr>
              <w:snapToGrid w:val="0"/>
              <w:spacing w:line="240" w:lineRule="atLeast"/>
              <w:jc w:val="center"/>
              <w:rPr>
                <w:rFonts w:ascii="仿宋_GB2312" w:hAnsi="宋体" w:eastAsia="仿宋_GB2312"/>
                <w:kern w:val="0"/>
              </w:rPr>
            </w:pPr>
            <w:r>
              <w:rPr>
                <w:rFonts w:ascii="仿宋_GB2312" w:hAnsi="宋体" w:eastAsia="仿宋_GB2312" w:cs="仿宋_GB2312"/>
                <w:kern w:val="0"/>
              </w:rPr>
              <w:t>94993.9353</w:t>
            </w:r>
          </w:p>
        </w:tc>
        <w:tc>
          <w:tcPr>
            <w:tcW w:w="1093" w:type="dxa"/>
            <w:vAlign w:val="center"/>
          </w:tcPr>
          <w:p>
            <w:pPr>
              <w:snapToGrid w:val="0"/>
              <w:spacing w:line="240" w:lineRule="atLeast"/>
              <w:jc w:val="center"/>
              <w:rPr>
                <w:rFonts w:ascii="仿宋_GB2312" w:hAnsi="宋体" w:eastAsia="仿宋_GB2312"/>
                <w:kern w:val="0"/>
              </w:rPr>
            </w:pPr>
            <w:r>
              <w:rPr>
                <w:rFonts w:ascii="仿宋_GB2312" w:hAnsi="宋体" w:eastAsia="仿宋_GB2312" w:cs="仿宋_GB2312"/>
                <w:kern w:val="0"/>
              </w:rPr>
              <w:t>213999</w:t>
            </w:r>
          </w:p>
        </w:tc>
        <w:tc>
          <w:tcPr>
            <w:tcW w:w="1199" w:type="dxa"/>
            <w:vAlign w:val="center"/>
          </w:tcPr>
          <w:p>
            <w:pPr>
              <w:snapToGrid w:val="0"/>
              <w:spacing w:line="240" w:lineRule="atLeast"/>
              <w:jc w:val="center"/>
              <w:rPr>
                <w:rFonts w:ascii="仿宋_GB2312" w:hAnsi="宋体" w:eastAsia="仿宋_GB2312"/>
                <w:kern w:val="0"/>
              </w:rPr>
            </w:pPr>
            <w:r>
              <w:rPr>
                <w:rFonts w:hint="eastAsia" w:ascii="仿宋_GB2312" w:hAnsi="宋体" w:eastAsia="仿宋_GB2312" w:cs="仿宋_GB2312"/>
                <w:kern w:val="0"/>
              </w:rPr>
              <w:t>公开招标</w:t>
            </w:r>
            <w:r>
              <w:rPr>
                <w:rFonts w:ascii="仿宋_GB2312" w:hAnsi="宋体" w:eastAsia="仿宋_GB2312" w:cs="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exact"/>
        </w:trPr>
        <w:tc>
          <w:tcPr>
            <w:tcW w:w="522" w:type="dxa"/>
            <w:vAlign w:val="center"/>
          </w:tcPr>
          <w:p>
            <w:pPr>
              <w:snapToGrid w:val="0"/>
              <w:spacing w:line="240" w:lineRule="atLeast"/>
              <w:jc w:val="center"/>
              <w:rPr>
                <w:rFonts w:ascii="仿宋_GB2312" w:hAnsi="宋体" w:eastAsia="仿宋_GB2312"/>
                <w:kern w:val="0"/>
              </w:rPr>
            </w:pPr>
            <w:r>
              <w:rPr>
                <w:rFonts w:ascii="仿宋_GB2312" w:hAnsi="宋体" w:eastAsia="仿宋_GB2312" w:cs="仿宋_GB2312"/>
                <w:kern w:val="0"/>
              </w:rPr>
              <w:t>3</w:t>
            </w:r>
          </w:p>
        </w:tc>
        <w:tc>
          <w:tcPr>
            <w:tcW w:w="1313" w:type="dxa"/>
            <w:vAlign w:val="center"/>
          </w:tcPr>
          <w:p>
            <w:pPr>
              <w:snapToGrid w:val="0"/>
              <w:spacing w:line="240" w:lineRule="atLeast"/>
              <w:jc w:val="center"/>
              <w:rPr>
                <w:rFonts w:ascii="仿宋_GB2312" w:hAnsi="宋体" w:eastAsia="仿宋_GB2312" w:cs="仿宋_GB2312"/>
                <w:kern w:val="0"/>
              </w:rPr>
            </w:pPr>
            <w:r>
              <w:rPr>
                <w:rFonts w:ascii="仿宋_GB2312" w:hAnsi="宋体" w:eastAsia="仿宋_GB2312" w:cs="仿宋_GB2312"/>
                <w:kern w:val="0"/>
              </w:rPr>
              <w:t xml:space="preserve"> 2002JS0003 </w:t>
            </w:r>
          </w:p>
        </w:tc>
        <w:tc>
          <w:tcPr>
            <w:tcW w:w="673" w:type="dxa"/>
            <w:vAlign w:val="center"/>
          </w:tcPr>
          <w:p>
            <w:pPr>
              <w:snapToGrid w:val="0"/>
              <w:spacing w:line="240" w:lineRule="atLeast"/>
              <w:jc w:val="center"/>
              <w:rPr>
                <w:rFonts w:ascii="仿宋_GB2312" w:hAnsi="宋体" w:eastAsia="仿宋_GB2312" w:cs="仿宋_GB2312"/>
                <w:kern w:val="0"/>
              </w:rPr>
            </w:pPr>
            <w:r>
              <w:rPr>
                <w:rFonts w:ascii="仿宋_GB2312" w:hAnsi="宋体" w:eastAsia="仿宋_GB2312" w:cs="仿宋_GB2312"/>
                <w:kern w:val="0"/>
              </w:rPr>
              <w:t>C01</w:t>
            </w:r>
          </w:p>
        </w:tc>
        <w:tc>
          <w:tcPr>
            <w:tcW w:w="1906" w:type="dxa"/>
            <w:vAlign w:val="center"/>
          </w:tcPr>
          <w:p>
            <w:pPr>
              <w:snapToGrid w:val="0"/>
              <w:spacing w:line="240" w:lineRule="atLeast"/>
              <w:jc w:val="center"/>
              <w:rPr>
                <w:rFonts w:ascii="仿宋_GB2312" w:hAnsi="宋体" w:eastAsia="仿宋_GB2312"/>
                <w:kern w:val="0"/>
              </w:rPr>
            </w:pPr>
            <w:r>
              <w:rPr>
                <w:rFonts w:hint="eastAsia" w:ascii="仿宋_GB2312" w:hAnsi="宋体" w:eastAsia="仿宋_GB2312" w:cs="仿宋_GB2312"/>
                <w:kern w:val="0"/>
              </w:rPr>
              <w:t>上海市金山区山阳镇人民政府</w:t>
            </w:r>
          </w:p>
        </w:tc>
        <w:tc>
          <w:tcPr>
            <w:tcW w:w="3623" w:type="dxa"/>
            <w:vAlign w:val="center"/>
          </w:tcPr>
          <w:p>
            <w:pPr>
              <w:snapToGrid w:val="0"/>
              <w:spacing w:line="240" w:lineRule="atLeast"/>
              <w:jc w:val="center"/>
              <w:rPr>
                <w:rFonts w:ascii="仿宋_GB2312" w:hAnsi="宋体" w:eastAsia="仿宋_GB2312"/>
                <w:kern w:val="0"/>
              </w:rPr>
            </w:pPr>
            <w:r>
              <w:rPr>
                <w:rFonts w:hint="eastAsia" w:ascii="仿宋_GB2312" w:hAnsi="宋体" w:eastAsia="仿宋_GB2312" w:cs="仿宋_GB2312"/>
                <w:kern w:val="0"/>
              </w:rPr>
              <w:t>“四好农村路”山阳镇长兴路提档升级工程</w:t>
            </w:r>
            <w:r>
              <w:rPr>
                <w:rFonts w:ascii="仿宋_GB2312" w:hAnsi="宋体" w:eastAsia="仿宋_GB2312" w:cs="仿宋_GB2312"/>
                <w:kern w:val="0"/>
              </w:rPr>
              <w:t xml:space="preserve">   </w:t>
            </w:r>
          </w:p>
        </w:tc>
        <w:tc>
          <w:tcPr>
            <w:tcW w:w="2361" w:type="dxa"/>
            <w:vAlign w:val="center"/>
          </w:tcPr>
          <w:p>
            <w:pPr>
              <w:snapToGrid w:val="0"/>
              <w:spacing w:line="240" w:lineRule="atLeast"/>
              <w:jc w:val="center"/>
              <w:rPr>
                <w:rFonts w:ascii="仿宋_GB2312" w:hAnsi="宋体" w:eastAsia="仿宋_GB2312"/>
                <w:kern w:val="0"/>
              </w:rPr>
            </w:pPr>
            <w:r>
              <w:rPr>
                <w:rFonts w:hint="eastAsia" w:ascii="仿宋_GB2312" w:hAnsi="宋体" w:eastAsia="仿宋_GB2312" w:cs="仿宋_GB2312"/>
                <w:kern w:val="0"/>
              </w:rPr>
              <w:t>上海增源建设工程有限公司</w:t>
            </w:r>
          </w:p>
        </w:tc>
        <w:tc>
          <w:tcPr>
            <w:tcW w:w="1484" w:type="dxa"/>
            <w:vAlign w:val="center"/>
          </w:tcPr>
          <w:p>
            <w:pPr>
              <w:snapToGrid w:val="0"/>
              <w:spacing w:line="240" w:lineRule="atLeast"/>
              <w:jc w:val="center"/>
              <w:rPr>
                <w:rFonts w:ascii="仿宋_GB2312" w:hAnsi="宋体" w:eastAsia="仿宋_GB2312"/>
                <w:kern w:val="0"/>
              </w:rPr>
            </w:pPr>
            <w:r>
              <w:rPr>
                <w:rFonts w:ascii="仿宋_GB2312" w:hAnsi="宋体" w:eastAsia="仿宋_GB2312" w:cs="仿宋_GB2312"/>
                <w:kern w:val="0"/>
              </w:rPr>
              <w:t>796.8211</w:t>
            </w:r>
          </w:p>
        </w:tc>
        <w:tc>
          <w:tcPr>
            <w:tcW w:w="1093" w:type="dxa"/>
            <w:vAlign w:val="center"/>
          </w:tcPr>
          <w:p>
            <w:pPr>
              <w:snapToGrid w:val="0"/>
              <w:spacing w:line="240" w:lineRule="atLeast"/>
              <w:jc w:val="center"/>
              <w:rPr>
                <w:rFonts w:ascii="仿宋_GB2312" w:hAnsi="宋体" w:eastAsia="仿宋_GB2312"/>
                <w:kern w:val="0"/>
              </w:rPr>
            </w:pPr>
            <w:r>
              <w:rPr>
                <w:rFonts w:ascii="仿宋_GB2312" w:hAnsi="宋体" w:eastAsia="仿宋_GB2312" w:cs="仿宋_GB2312"/>
                <w:kern w:val="0"/>
              </w:rPr>
              <w:t>0</w:t>
            </w:r>
          </w:p>
        </w:tc>
        <w:tc>
          <w:tcPr>
            <w:tcW w:w="1199" w:type="dxa"/>
            <w:vAlign w:val="center"/>
          </w:tcPr>
          <w:p>
            <w:pPr>
              <w:snapToGrid w:val="0"/>
              <w:spacing w:line="240" w:lineRule="atLeast"/>
              <w:jc w:val="center"/>
              <w:rPr>
                <w:rFonts w:ascii="仿宋_GB2312" w:hAnsi="宋体" w:eastAsia="仿宋_GB2312"/>
                <w:kern w:val="0"/>
              </w:rPr>
            </w:pPr>
            <w:r>
              <w:rPr>
                <w:rFonts w:hint="eastAsia" w:ascii="仿宋_GB2312" w:hAnsi="宋体" w:eastAsia="仿宋_GB2312" w:cs="仿宋_GB2312"/>
                <w:kern w:val="0"/>
              </w:rPr>
              <w:t>公开招标</w:t>
            </w:r>
            <w:r>
              <w:rPr>
                <w:rFonts w:ascii="仿宋_GB2312" w:hAnsi="宋体" w:eastAsia="仿宋_GB2312" w:cs="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exact"/>
        </w:trPr>
        <w:tc>
          <w:tcPr>
            <w:tcW w:w="522" w:type="dxa"/>
            <w:vAlign w:val="center"/>
          </w:tcPr>
          <w:p>
            <w:pPr>
              <w:snapToGrid w:val="0"/>
              <w:spacing w:line="240" w:lineRule="atLeast"/>
              <w:jc w:val="center"/>
              <w:rPr>
                <w:rFonts w:ascii="仿宋_GB2312" w:hAnsi="宋体" w:eastAsia="仿宋_GB2312"/>
                <w:kern w:val="0"/>
              </w:rPr>
            </w:pPr>
            <w:r>
              <w:rPr>
                <w:rFonts w:ascii="仿宋_GB2312" w:hAnsi="宋体" w:eastAsia="仿宋_GB2312" w:cs="仿宋_GB2312"/>
                <w:kern w:val="0"/>
              </w:rPr>
              <w:t>4</w:t>
            </w:r>
          </w:p>
        </w:tc>
        <w:tc>
          <w:tcPr>
            <w:tcW w:w="1313" w:type="dxa"/>
            <w:vAlign w:val="center"/>
          </w:tcPr>
          <w:p>
            <w:pPr>
              <w:snapToGrid w:val="0"/>
              <w:spacing w:line="240" w:lineRule="atLeast"/>
              <w:jc w:val="center"/>
              <w:rPr>
                <w:rFonts w:ascii="仿宋_GB2312" w:hAnsi="宋体" w:eastAsia="仿宋_GB2312" w:cs="仿宋_GB2312"/>
                <w:kern w:val="0"/>
              </w:rPr>
            </w:pPr>
            <w:r>
              <w:rPr>
                <w:rFonts w:ascii="仿宋_GB2312" w:hAnsi="宋体" w:eastAsia="仿宋_GB2312" w:cs="仿宋_GB2312"/>
                <w:kern w:val="0"/>
              </w:rPr>
              <w:t>2002JS0001</w:t>
            </w:r>
          </w:p>
        </w:tc>
        <w:tc>
          <w:tcPr>
            <w:tcW w:w="673" w:type="dxa"/>
            <w:vAlign w:val="center"/>
          </w:tcPr>
          <w:p>
            <w:pPr>
              <w:snapToGrid w:val="0"/>
              <w:spacing w:line="240" w:lineRule="atLeast"/>
              <w:jc w:val="center"/>
              <w:rPr>
                <w:rFonts w:ascii="仿宋_GB2312" w:hAnsi="宋体" w:eastAsia="仿宋_GB2312" w:cs="仿宋_GB2312"/>
                <w:kern w:val="0"/>
              </w:rPr>
            </w:pPr>
            <w:r>
              <w:rPr>
                <w:rFonts w:ascii="仿宋_GB2312" w:hAnsi="宋体" w:eastAsia="仿宋_GB2312" w:cs="仿宋_GB2312"/>
                <w:kern w:val="0"/>
              </w:rPr>
              <w:t>C01</w:t>
            </w:r>
          </w:p>
        </w:tc>
        <w:tc>
          <w:tcPr>
            <w:tcW w:w="1906" w:type="dxa"/>
            <w:vAlign w:val="center"/>
          </w:tcPr>
          <w:p>
            <w:pPr>
              <w:snapToGrid w:val="0"/>
              <w:spacing w:line="240" w:lineRule="atLeast"/>
              <w:jc w:val="center"/>
              <w:rPr>
                <w:rFonts w:ascii="仿宋_GB2312" w:hAnsi="宋体" w:eastAsia="仿宋_GB2312"/>
                <w:kern w:val="0"/>
              </w:rPr>
            </w:pPr>
            <w:r>
              <w:rPr>
                <w:rFonts w:hint="eastAsia" w:ascii="仿宋_GB2312" w:hAnsi="宋体" w:eastAsia="仿宋_GB2312" w:cs="仿宋_GB2312"/>
                <w:kern w:val="0"/>
              </w:rPr>
              <w:t>上海大有风泽实业有限公司</w:t>
            </w:r>
          </w:p>
        </w:tc>
        <w:tc>
          <w:tcPr>
            <w:tcW w:w="3623" w:type="dxa"/>
            <w:vAlign w:val="center"/>
          </w:tcPr>
          <w:p>
            <w:pPr>
              <w:snapToGrid w:val="0"/>
              <w:spacing w:line="240" w:lineRule="atLeast"/>
              <w:jc w:val="center"/>
              <w:rPr>
                <w:rFonts w:ascii="仿宋_GB2312" w:hAnsi="宋体" w:eastAsia="仿宋_GB2312"/>
                <w:kern w:val="0"/>
              </w:rPr>
            </w:pPr>
            <w:r>
              <w:rPr>
                <w:rFonts w:hint="eastAsia" w:ascii="仿宋_GB2312" w:hAnsi="宋体" w:eastAsia="仿宋_GB2312" w:cs="仿宋_GB2312"/>
                <w:kern w:val="0"/>
              </w:rPr>
              <w:t>上海大有风泽实业有限公司高科技产业园（东部）扩建项目</w:t>
            </w:r>
            <w:r>
              <w:rPr>
                <w:rFonts w:ascii="仿宋_GB2312" w:hAnsi="宋体" w:eastAsia="仿宋_GB2312" w:cs="仿宋_GB2312"/>
                <w:kern w:val="0"/>
              </w:rPr>
              <w:t xml:space="preserve">  </w:t>
            </w:r>
          </w:p>
        </w:tc>
        <w:tc>
          <w:tcPr>
            <w:tcW w:w="2361" w:type="dxa"/>
            <w:vAlign w:val="center"/>
          </w:tcPr>
          <w:p>
            <w:pPr>
              <w:snapToGrid w:val="0"/>
              <w:spacing w:line="240" w:lineRule="atLeast"/>
              <w:jc w:val="center"/>
              <w:rPr>
                <w:rFonts w:ascii="仿宋_GB2312" w:hAnsi="宋体" w:eastAsia="仿宋_GB2312"/>
                <w:kern w:val="0"/>
              </w:rPr>
            </w:pPr>
            <w:r>
              <w:rPr>
                <w:rFonts w:hint="eastAsia" w:ascii="仿宋_GB2312" w:hAnsi="宋体" w:eastAsia="仿宋_GB2312" w:cs="仿宋_GB2312"/>
                <w:kern w:val="0"/>
              </w:rPr>
              <w:t>上海浦西建筑工程有限公司</w:t>
            </w:r>
            <w:r>
              <w:rPr>
                <w:rFonts w:ascii="仿宋_GB2312" w:hAnsi="宋体" w:eastAsia="仿宋_GB2312" w:cs="仿宋_GB2312"/>
                <w:kern w:val="0"/>
              </w:rPr>
              <w:t xml:space="preserve"> </w:t>
            </w:r>
          </w:p>
        </w:tc>
        <w:tc>
          <w:tcPr>
            <w:tcW w:w="1484" w:type="dxa"/>
            <w:vAlign w:val="center"/>
          </w:tcPr>
          <w:p>
            <w:pPr>
              <w:snapToGrid w:val="0"/>
              <w:spacing w:line="240" w:lineRule="atLeast"/>
              <w:jc w:val="center"/>
              <w:rPr>
                <w:rFonts w:ascii="仿宋_GB2312" w:hAnsi="宋体" w:eastAsia="仿宋_GB2312"/>
                <w:kern w:val="0"/>
              </w:rPr>
            </w:pPr>
            <w:r>
              <w:rPr>
                <w:rFonts w:ascii="仿宋_GB2312" w:hAnsi="宋体" w:eastAsia="仿宋_GB2312" w:cs="仿宋_GB2312"/>
                <w:kern w:val="0"/>
              </w:rPr>
              <w:t>1945.86</w:t>
            </w:r>
          </w:p>
        </w:tc>
        <w:tc>
          <w:tcPr>
            <w:tcW w:w="1093" w:type="dxa"/>
            <w:vAlign w:val="center"/>
          </w:tcPr>
          <w:p>
            <w:pPr>
              <w:snapToGrid w:val="0"/>
              <w:spacing w:line="240" w:lineRule="atLeast"/>
              <w:jc w:val="center"/>
              <w:rPr>
                <w:rFonts w:ascii="仿宋_GB2312" w:hAnsi="宋体" w:eastAsia="仿宋_GB2312"/>
                <w:kern w:val="0"/>
              </w:rPr>
            </w:pPr>
            <w:r>
              <w:rPr>
                <w:rFonts w:ascii="仿宋_GB2312" w:hAnsi="宋体" w:eastAsia="仿宋_GB2312" w:cs="仿宋_GB2312"/>
                <w:kern w:val="0"/>
              </w:rPr>
              <w:t>7696.1</w:t>
            </w:r>
          </w:p>
        </w:tc>
        <w:tc>
          <w:tcPr>
            <w:tcW w:w="1199" w:type="dxa"/>
            <w:vAlign w:val="center"/>
          </w:tcPr>
          <w:p>
            <w:pPr>
              <w:snapToGrid w:val="0"/>
              <w:spacing w:line="240" w:lineRule="atLeast"/>
              <w:jc w:val="center"/>
              <w:rPr>
                <w:rFonts w:ascii="仿宋_GB2312" w:hAnsi="宋体" w:eastAsia="仿宋_GB2312"/>
                <w:kern w:val="0"/>
              </w:rPr>
            </w:pPr>
            <w:r>
              <w:rPr>
                <w:rFonts w:hint="eastAsia" w:ascii="仿宋_GB2312" w:hAnsi="宋体" w:eastAsia="仿宋_GB2312" w:cs="仿宋_GB2312"/>
                <w:kern w:val="0"/>
              </w:rPr>
              <w:t>公开招标</w:t>
            </w:r>
            <w:r>
              <w:rPr>
                <w:rFonts w:ascii="仿宋_GB2312" w:hAnsi="宋体" w:eastAsia="仿宋_GB2312" w:cs="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47" w:hRule="exact"/>
        </w:trPr>
        <w:tc>
          <w:tcPr>
            <w:tcW w:w="522" w:type="dxa"/>
            <w:vAlign w:val="center"/>
          </w:tcPr>
          <w:p>
            <w:pPr>
              <w:snapToGrid w:val="0"/>
              <w:spacing w:line="240" w:lineRule="atLeast"/>
              <w:jc w:val="center"/>
              <w:rPr>
                <w:rFonts w:ascii="仿宋_GB2312" w:hAnsi="宋体" w:eastAsia="仿宋_GB2312"/>
                <w:kern w:val="0"/>
              </w:rPr>
            </w:pPr>
            <w:r>
              <w:rPr>
                <w:rFonts w:ascii="仿宋_GB2312" w:hAnsi="宋体" w:eastAsia="仿宋_GB2312" w:cs="仿宋_GB2312"/>
                <w:kern w:val="0"/>
              </w:rPr>
              <w:t>5</w:t>
            </w:r>
          </w:p>
        </w:tc>
        <w:tc>
          <w:tcPr>
            <w:tcW w:w="1313" w:type="dxa"/>
            <w:vAlign w:val="center"/>
          </w:tcPr>
          <w:p>
            <w:pPr>
              <w:snapToGrid w:val="0"/>
              <w:spacing w:line="240" w:lineRule="atLeast"/>
              <w:jc w:val="center"/>
              <w:rPr>
                <w:rFonts w:ascii="仿宋_GB2312" w:hAnsi="宋体" w:eastAsia="仿宋_GB2312" w:cs="仿宋_GB2312"/>
                <w:kern w:val="0"/>
              </w:rPr>
            </w:pPr>
            <w:r>
              <w:rPr>
                <w:rFonts w:ascii="仿宋_GB2312" w:hAnsi="宋体" w:eastAsia="仿宋_GB2312" w:cs="仿宋_GB2312"/>
                <w:kern w:val="0"/>
              </w:rPr>
              <w:t xml:space="preserve"> 1902JS0166 </w:t>
            </w:r>
          </w:p>
        </w:tc>
        <w:tc>
          <w:tcPr>
            <w:tcW w:w="673" w:type="dxa"/>
            <w:vAlign w:val="center"/>
          </w:tcPr>
          <w:p>
            <w:pPr>
              <w:snapToGrid w:val="0"/>
              <w:spacing w:line="240" w:lineRule="atLeast"/>
              <w:jc w:val="center"/>
              <w:rPr>
                <w:rFonts w:ascii="仿宋_GB2312" w:hAnsi="宋体" w:eastAsia="仿宋_GB2312" w:cs="仿宋_GB2312"/>
                <w:kern w:val="0"/>
              </w:rPr>
            </w:pPr>
            <w:r>
              <w:rPr>
                <w:rFonts w:ascii="仿宋_GB2312" w:hAnsi="宋体" w:eastAsia="仿宋_GB2312" w:cs="仿宋_GB2312"/>
                <w:kern w:val="0"/>
              </w:rPr>
              <w:t>C01</w:t>
            </w:r>
          </w:p>
        </w:tc>
        <w:tc>
          <w:tcPr>
            <w:tcW w:w="1906" w:type="dxa"/>
            <w:vAlign w:val="center"/>
          </w:tcPr>
          <w:p>
            <w:pPr>
              <w:snapToGrid w:val="0"/>
              <w:spacing w:line="240" w:lineRule="atLeast"/>
              <w:jc w:val="center"/>
              <w:rPr>
                <w:rFonts w:ascii="仿宋_GB2312" w:hAnsi="宋体" w:eastAsia="仿宋_GB2312"/>
                <w:kern w:val="0"/>
              </w:rPr>
            </w:pPr>
            <w:r>
              <w:rPr>
                <w:rFonts w:hint="eastAsia" w:ascii="仿宋_GB2312" w:hAnsi="宋体" w:eastAsia="仿宋_GB2312" w:cs="仿宋_GB2312"/>
                <w:kern w:val="0"/>
              </w:rPr>
              <w:t>上海市金山区枫泾镇人民政府</w:t>
            </w:r>
          </w:p>
        </w:tc>
        <w:tc>
          <w:tcPr>
            <w:tcW w:w="3623" w:type="dxa"/>
            <w:vAlign w:val="center"/>
          </w:tcPr>
          <w:p>
            <w:pPr>
              <w:snapToGrid w:val="0"/>
              <w:spacing w:line="240" w:lineRule="atLeast"/>
              <w:jc w:val="center"/>
              <w:rPr>
                <w:rFonts w:ascii="仿宋_GB2312" w:hAnsi="宋体" w:eastAsia="仿宋_GB2312"/>
                <w:kern w:val="0"/>
              </w:rPr>
            </w:pPr>
            <w:r>
              <w:rPr>
                <w:rFonts w:hint="eastAsia" w:ascii="仿宋_GB2312" w:hAnsi="宋体" w:eastAsia="仿宋_GB2312" w:cs="仿宋_GB2312"/>
                <w:kern w:val="0"/>
              </w:rPr>
              <w:t>枫泾镇中洪村简易垃圾填埋场封场工程</w:t>
            </w:r>
            <w:r>
              <w:rPr>
                <w:rFonts w:ascii="仿宋_GB2312" w:hAnsi="宋体" w:eastAsia="仿宋_GB2312" w:cs="仿宋_GB2312"/>
                <w:kern w:val="0"/>
              </w:rPr>
              <w:t xml:space="preserve">  </w:t>
            </w:r>
          </w:p>
        </w:tc>
        <w:tc>
          <w:tcPr>
            <w:tcW w:w="2361" w:type="dxa"/>
            <w:vAlign w:val="center"/>
          </w:tcPr>
          <w:p>
            <w:pPr>
              <w:snapToGrid w:val="0"/>
              <w:spacing w:line="240" w:lineRule="atLeast"/>
              <w:jc w:val="center"/>
              <w:rPr>
                <w:rFonts w:ascii="仿宋_GB2312" w:hAnsi="宋体" w:eastAsia="仿宋_GB2312"/>
                <w:kern w:val="0"/>
              </w:rPr>
            </w:pPr>
            <w:r>
              <w:rPr>
                <w:rFonts w:hint="eastAsia" w:ascii="仿宋_GB2312" w:hAnsi="宋体" w:eastAsia="仿宋_GB2312" w:cs="仿宋_GB2312"/>
                <w:kern w:val="0"/>
              </w:rPr>
              <w:t>上海环境卫生工程设计院有限公司</w:t>
            </w:r>
          </w:p>
        </w:tc>
        <w:tc>
          <w:tcPr>
            <w:tcW w:w="1484" w:type="dxa"/>
            <w:vAlign w:val="center"/>
          </w:tcPr>
          <w:p>
            <w:pPr>
              <w:snapToGrid w:val="0"/>
              <w:spacing w:line="240" w:lineRule="atLeast"/>
              <w:jc w:val="center"/>
              <w:rPr>
                <w:rFonts w:ascii="仿宋_GB2312" w:hAnsi="宋体" w:eastAsia="仿宋_GB2312"/>
                <w:kern w:val="0"/>
              </w:rPr>
            </w:pPr>
            <w:r>
              <w:rPr>
                <w:rFonts w:ascii="仿宋_GB2312" w:hAnsi="宋体" w:eastAsia="仿宋_GB2312" w:cs="仿宋_GB2312"/>
                <w:kern w:val="0"/>
              </w:rPr>
              <w:t>1607.0358</w:t>
            </w:r>
          </w:p>
        </w:tc>
        <w:tc>
          <w:tcPr>
            <w:tcW w:w="1093" w:type="dxa"/>
            <w:vAlign w:val="center"/>
          </w:tcPr>
          <w:p>
            <w:pPr>
              <w:snapToGrid w:val="0"/>
              <w:spacing w:line="240" w:lineRule="atLeast"/>
              <w:jc w:val="center"/>
              <w:rPr>
                <w:rFonts w:ascii="仿宋_GB2312" w:hAnsi="宋体" w:eastAsia="仿宋_GB2312"/>
                <w:kern w:val="0"/>
              </w:rPr>
            </w:pPr>
            <w:r>
              <w:rPr>
                <w:rFonts w:ascii="仿宋_GB2312" w:hAnsi="宋体" w:eastAsia="仿宋_GB2312" w:cs="仿宋_GB2312"/>
                <w:kern w:val="0"/>
              </w:rPr>
              <w:t>0</w:t>
            </w:r>
          </w:p>
        </w:tc>
        <w:tc>
          <w:tcPr>
            <w:tcW w:w="1199" w:type="dxa"/>
            <w:vAlign w:val="center"/>
          </w:tcPr>
          <w:p>
            <w:pPr>
              <w:snapToGrid w:val="0"/>
              <w:spacing w:line="240" w:lineRule="atLeast"/>
              <w:jc w:val="center"/>
              <w:rPr>
                <w:rFonts w:ascii="仿宋_GB2312" w:hAnsi="宋体" w:eastAsia="仿宋_GB2312"/>
                <w:kern w:val="0"/>
              </w:rPr>
            </w:pPr>
            <w:r>
              <w:rPr>
                <w:rFonts w:hint="eastAsia" w:ascii="仿宋_GB2312" w:hAnsi="宋体" w:eastAsia="仿宋_GB2312" w:cs="仿宋_GB2312"/>
                <w:kern w:val="0"/>
              </w:rPr>
              <w:t>公开招标</w:t>
            </w:r>
            <w:r>
              <w:rPr>
                <w:rFonts w:ascii="仿宋_GB2312" w:hAnsi="宋体" w:eastAsia="仿宋_GB2312" w:cs="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exact"/>
        </w:trPr>
        <w:tc>
          <w:tcPr>
            <w:tcW w:w="522" w:type="dxa"/>
            <w:vAlign w:val="center"/>
          </w:tcPr>
          <w:p>
            <w:pPr>
              <w:snapToGrid w:val="0"/>
              <w:spacing w:line="240" w:lineRule="atLeast"/>
              <w:jc w:val="center"/>
              <w:rPr>
                <w:rFonts w:ascii="仿宋_GB2312" w:hAnsi="宋体" w:eastAsia="仿宋_GB2312"/>
                <w:kern w:val="0"/>
              </w:rPr>
            </w:pPr>
            <w:r>
              <w:rPr>
                <w:rFonts w:ascii="仿宋_GB2312" w:hAnsi="宋体" w:eastAsia="仿宋_GB2312" w:cs="仿宋_GB2312"/>
                <w:kern w:val="0"/>
              </w:rPr>
              <w:t>6</w:t>
            </w:r>
          </w:p>
        </w:tc>
        <w:tc>
          <w:tcPr>
            <w:tcW w:w="1313" w:type="dxa"/>
            <w:vAlign w:val="center"/>
          </w:tcPr>
          <w:p>
            <w:pPr>
              <w:snapToGrid w:val="0"/>
              <w:spacing w:line="240" w:lineRule="atLeast"/>
              <w:jc w:val="center"/>
              <w:rPr>
                <w:rFonts w:ascii="仿宋_GB2312" w:hAnsi="宋体" w:eastAsia="仿宋_GB2312" w:cs="仿宋_GB2312"/>
                <w:kern w:val="0"/>
              </w:rPr>
            </w:pPr>
            <w:r>
              <w:rPr>
                <w:rFonts w:ascii="仿宋_GB2312" w:hAnsi="宋体" w:eastAsia="仿宋_GB2312" w:cs="仿宋_GB2312"/>
                <w:kern w:val="0"/>
              </w:rPr>
              <w:t>1902JS0162</w:t>
            </w:r>
          </w:p>
        </w:tc>
        <w:tc>
          <w:tcPr>
            <w:tcW w:w="673" w:type="dxa"/>
            <w:vAlign w:val="center"/>
          </w:tcPr>
          <w:p>
            <w:pPr>
              <w:snapToGrid w:val="0"/>
              <w:spacing w:line="240" w:lineRule="atLeast"/>
              <w:jc w:val="center"/>
              <w:rPr>
                <w:rFonts w:ascii="仿宋_GB2312" w:hAnsi="宋体" w:eastAsia="仿宋_GB2312" w:cs="仿宋_GB2312"/>
                <w:kern w:val="0"/>
              </w:rPr>
            </w:pPr>
            <w:r>
              <w:rPr>
                <w:rFonts w:ascii="仿宋_GB2312" w:hAnsi="宋体" w:eastAsia="仿宋_GB2312" w:cs="仿宋_GB2312"/>
                <w:kern w:val="0"/>
              </w:rPr>
              <w:t>C01</w:t>
            </w:r>
          </w:p>
        </w:tc>
        <w:tc>
          <w:tcPr>
            <w:tcW w:w="1906" w:type="dxa"/>
            <w:vAlign w:val="center"/>
          </w:tcPr>
          <w:p>
            <w:pPr>
              <w:snapToGrid w:val="0"/>
              <w:spacing w:line="240" w:lineRule="atLeast"/>
              <w:jc w:val="center"/>
              <w:rPr>
                <w:rFonts w:ascii="仿宋_GB2312" w:hAnsi="宋体" w:eastAsia="仿宋_GB2312"/>
                <w:kern w:val="0"/>
              </w:rPr>
            </w:pPr>
            <w:r>
              <w:rPr>
                <w:rFonts w:hint="eastAsia" w:ascii="仿宋_GB2312" w:hAnsi="宋体" w:eastAsia="仿宋_GB2312" w:cs="仿宋_GB2312"/>
                <w:kern w:val="0"/>
              </w:rPr>
              <w:t>上海市金山区交通委员会</w:t>
            </w:r>
          </w:p>
        </w:tc>
        <w:tc>
          <w:tcPr>
            <w:tcW w:w="3623" w:type="dxa"/>
            <w:vAlign w:val="center"/>
          </w:tcPr>
          <w:p>
            <w:pPr>
              <w:snapToGrid w:val="0"/>
              <w:spacing w:line="240" w:lineRule="atLeast"/>
              <w:jc w:val="center"/>
              <w:rPr>
                <w:rFonts w:ascii="仿宋_GB2312" w:hAnsi="宋体" w:eastAsia="仿宋_GB2312"/>
                <w:kern w:val="0"/>
              </w:rPr>
            </w:pPr>
            <w:r>
              <w:rPr>
                <w:rFonts w:hint="eastAsia" w:ascii="仿宋_GB2312" w:hAnsi="宋体" w:eastAsia="仿宋_GB2312" w:cs="仿宋_GB2312"/>
                <w:kern w:val="0"/>
              </w:rPr>
              <w:t>北秀路（南枫公路朱泾镇区段，健康路</w:t>
            </w:r>
            <w:r>
              <w:rPr>
                <w:rFonts w:ascii="仿宋_GB2312" w:hAnsi="宋体" w:eastAsia="仿宋_GB2312" w:cs="仿宋_GB2312"/>
                <w:kern w:val="0"/>
              </w:rPr>
              <w:t>-</w:t>
            </w:r>
            <w:r>
              <w:rPr>
                <w:rFonts w:hint="eastAsia" w:ascii="仿宋_GB2312" w:hAnsi="宋体" w:eastAsia="仿宋_GB2312" w:cs="仿宋_GB2312"/>
                <w:kern w:val="0"/>
              </w:rPr>
              <w:t>沈浦泾路）新建工程一标</w:t>
            </w:r>
            <w:r>
              <w:rPr>
                <w:rFonts w:ascii="仿宋_GB2312" w:hAnsi="宋体" w:eastAsia="仿宋_GB2312" w:cs="仿宋_GB2312"/>
                <w:kern w:val="0"/>
              </w:rPr>
              <w:t xml:space="preserve">  </w:t>
            </w:r>
          </w:p>
        </w:tc>
        <w:tc>
          <w:tcPr>
            <w:tcW w:w="2361" w:type="dxa"/>
            <w:vAlign w:val="center"/>
          </w:tcPr>
          <w:p>
            <w:pPr>
              <w:snapToGrid w:val="0"/>
              <w:spacing w:line="240" w:lineRule="atLeast"/>
              <w:jc w:val="center"/>
              <w:rPr>
                <w:rFonts w:ascii="仿宋_GB2312" w:hAnsi="宋体" w:eastAsia="仿宋_GB2312"/>
                <w:kern w:val="0"/>
              </w:rPr>
            </w:pPr>
            <w:r>
              <w:rPr>
                <w:rFonts w:hint="eastAsia" w:ascii="仿宋_GB2312" w:hAnsi="宋体" w:eastAsia="仿宋_GB2312" w:cs="仿宋_GB2312"/>
                <w:kern w:val="0"/>
              </w:rPr>
              <w:t>上海奉贤建设发展（集团）有限公司</w:t>
            </w:r>
          </w:p>
        </w:tc>
        <w:tc>
          <w:tcPr>
            <w:tcW w:w="1484" w:type="dxa"/>
            <w:vAlign w:val="center"/>
          </w:tcPr>
          <w:p>
            <w:pPr>
              <w:snapToGrid w:val="0"/>
              <w:spacing w:line="240" w:lineRule="atLeast"/>
              <w:jc w:val="center"/>
              <w:rPr>
                <w:rFonts w:ascii="仿宋_GB2312" w:hAnsi="宋体" w:eastAsia="仿宋_GB2312"/>
                <w:kern w:val="0"/>
              </w:rPr>
            </w:pPr>
            <w:r>
              <w:rPr>
                <w:rFonts w:ascii="仿宋_GB2312" w:hAnsi="宋体" w:eastAsia="仿宋_GB2312" w:cs="仿宋_GB2312"/>
                <w:kern w:val="0"/>
              </w:rPr>
              <w:t>4987.3028</w:t>
            </w:r>
          </w:p>
        </w:tc>
        <w:tc>
          <w:tcPr>
            <w:tcW w:w="1093" w:type="dxa"/>
            <w:vAlign w:val="center"/>
          </w:tcPr>
          <w:p>
            <w:pPr>
              <w:snapToGrid w:val="0"/>
              <w:spacing w:line="240" w:lineRule="atLeast"/>
              <w:jc w:val="center"/>
              <w:rPr>
                <w:rFonts w:ascii="仿宋_GB2312" w:hAnsi="宋体" w:eastAsia="仿宋_GB2312"/>
                <w:kern w:val="0"/>
              </w:rPr>
            </w:pPr>
            <w:r>
              <w:rPr>
                <w:rFonts w:ascii="仿宋_GB2312" w:hAnsi="宋体" w:eastAsia="仿宋_GB2312" w:cs="仿宋_GB2312"/>
                <w:kern w:val="0"/>
              </w:rPr>
              <w:t>0</w:t>
            </w:r>
          </w:p>
        </w:tc>
        <w:tc>
          <w:tcPr>
            <w:tcW w:w="1199" w:type="dxa"/>
            <w:vAlign w:val="center"/>
          </w:tcPr>
          <w:p>
            <w:pPr>
              <w:snapToGrid w:val="0"/>
              <w:spacing w:line="240" w:lineRule="atLeast"/>
              <w:jc w:val="center"/>
              <w:rPr>
                <w:rFonts w:ascii="仿宋_GB2312" w:hAnsi="宋体" w:eastAsia="仿宋_GB2312"/>
                <w:kern w:val="0"/>
              </w:rPr>
            </w:pPr>
            <w:r>
              <w:rPr>
                <w:rFonts w:hint="eastAsia" w:ascii="仿宋_GB2312" w:hAnsi="宋体" w:eastAsia="仿宋_GB2312" w:cs="仿宋_GB2312"/>
                <w:kern w:val="0"/>
              </w:rPr>
              <w:t>公开招标</w:t>
            </w:r>
            <w:r>
              <w:rPr>
                <w:rFonts w:ascii="仿宋_GB2312" w:hAnsi="宋体" w:eastAsia="仿宋_GB2312" w:cs="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exact"/>
        </w:trPr>
        <w:tc>
          <w:tcPr>
            <w:tcW w:w="522" w:type="dxa"/>
            <w:vAlign w:val="center"/>
          </w:tcPr>
          <w:p>
            <w:pPr>
              <w:snapToGrid w:val="0"/>
              <w:spacing w:line="240" w:lineRule="atLeast"/>
              <w:jc w:val="center"/>
              <w:rPr>
                <w:rFonts w:ascii="仿宋_GB2312" w:hAnsi="宋体" w:eastAsia="仿宋_GB2312"/>
                <w:kern w:val="0"/>
              </w:rPr>
            </w:pPr>
            <w:r>
              <w:rPr>
                <w:rFonts w:ascii="仿宋_GB2312" w:hAnsi="宋体" w:eastAsia="仿宋_GB2312" w:cs="仿宋_GB2312"/>
                <w:kern w:val="0"/>
              </w:rPr>
              <w:t>7</w:t>
            </w:r>
          </w:p>
        </w:tc>
        <w:tc>
          <w:tcPr>
            <w:tcW w:w="1313" w:type="dxa"/>
            <w:vAlign w:val="center"/>
          </w:tcPr>
          <w:p>
            <w:pPr>
              <w:snapToGrid w:val="0"/>
              <w:spacing w:line="240" w:lineRule="atLeast"/>
              <w:jc w:val="center"/>
              <w:rPr>
                <w:rFonts w:ascii="仿宋_GB2312" w:hAnsi="宋体" w:eastAsia="仿宋_GB2312" w:cs="仿宋_GB2312"/>
                <w:kern w:val="0"/>
              </w:rPr>
            </w:pPr>
            <w:r>
              <w:rPr>
                <w:rFonts w:ascii="仿宋_GB2312" w:hAnsi="宋体" w:eastAsia="仿宋_GB2312" w:cs="仿宋_GB2312"/>
                <w:kern w:val="0"/>
              </w:rPr>
              <w:t>1902JS0162</w:t>
            </w:r>
          </w:p>
        </w:tc>
        <w:tc>
          <w:tcPr>
            <w:tcW w:w="673" w:type="dxa"/>
            <w:vAlign w:val="center"/>
          </w:tcPr>
          <w:p>
            <w:pPr>
              <w:snapToGrid w:val="0"/>
              <w:spacing w:line="240" w:lineRule="atLeast"/>
              <w:jc w:val="center"/>
              <w:rPr>
                <w:rFonts w:ascii="仿宋_GB2312" w:hAnsi="宋体" w:eastAsia="仿宋_GB2312" w:cs="仿宋_GB2312"/>
                <w:kern w:val="0"/>
              </w:rPr>
            </w:pPr>
            <w:r>
              <w:rPr>
                <w:rFonts w:ascii="仿宋_GB2312" w:hAnsi="宋体" w:eastAsia="仿宋_GB2312" w:cs="仿宋_GB2312"/>
                <w:kern w:val="0"/>
              </w:rPr>
              <w:t>C02</w:t>
            </w:r>
          </w:p>
        </w:tc>
        <w:tc>
          <w:tcPr>
            <w:tcW w:w="1906" w:type="dxa"/>
            <w:vAlign w:val="center"/>
          </w:tcPr>
          <w:p>
            <w:pPr>
              <w:snapToGrid w:val="0"/>
              <w:spacing w:line="240" w:lineRule="atLeast"/>
              <w:jc w:val="center"/>
              <w:rPr>
                <w:rFonts w:ascii="仿宋_GB2312" w:hAnsi="宋体" w:eastAsia="仿宋_GB2312"/>
                <w:kern w:val="0"/>
              </w:rPr>
            </w:pPr>
            <w:r>
              <w:rPr>
                <w:rFonts w:hint="eastAsia" w:ascii="仿宋_GB2312" w:hAnsi="宋体" w:eastAsia="仿宋_GB2312" w:cs="仿宋_GB2312"/>
                <w:kern w:val="0"/>
              </w:rPr>
              <w:t>上海市金山区交通委员会</w:t>
            </w:r>
          </w:p>
        </w:tc>
        <w:tc>
          <w:tcPr>
            <w:tcW w:w="3623" w:type="dxa"/>
            <w:vAlign w:val="center"/>
          </w:tcPr>
          <w:p>
            <w:pPr>
              <w:snapToGrid w:val="0"/>
              <w:spacing w:line="240" w:lineRule="atLeast"/>
              <w:jc w:val="center"/>
              <w:rPr>
                <w:rFonts w:ascii="仿宋_GB2312" w:hAnsi="宋体" w:eastAsia="仿宋_GB2312"/>
                <w:kern w:val="0"/>
              </w:rPr>
            </w:pPr>
            <w:r>
              <w:rPr>
                <w:rFonts w:hint="eastAsia" w:ascii="仿宋_GB2312" w:hAnsi="宋体" w:eastAsia="仿宋_GB2312" w:cs="仿宋_GB2312"/>
                <w:kern w:val="0"/>
              </w:rPr>
              <w:t>北秀路（南枫公路朱泾镇区段，健康路</w:t>
            </w:r>
            <w:r>
              <w:rPr>
                <w:rFonts w:ascii="仿宋_GB2312" w:hAnsi="宋体" w:eastAsia="仿宋_GB2312" w:cs="仿宋_GB2312"/>
                <w:kern w:val="0"/>
              </w:rPr>
              <w:t>-</w:t>
            </w:r>
            <w:r>
              <w:rPr>
                <w:rFonts w:hint="eastAsia" w:ascii="仿宋_GB2312" w:hAnsi="宋体" w:eastAsia="仿宋_GB2312" w:cs="仿宋_GB2312"/>
                <w:kern w:val="0"/>
              </w:rPr>
              <w:t>沈浦泾路）新建工程二标</w:t>
            </w:r>
            <w:r>
              <w:rPr>
                <w:rFonts w:ascii="仿宋_GB2312" w:hAnsi="宋体" w:eastAsia="仿宋_GB2312" w:cs="仿宋_GB2312"/>
                <w:kern w:val="0"/>
              </w:rPr>
              <w:t xml:space="preserve">  </w:t>
            </w:r>
          </w:p>
        </w:tc>
        <w:tc>
          <w:tcPr>
            <w:tcW w:w="2361" w:type="dxa"/>
            <w:vAlign w:val="center"/>
          </w:tcPr>
          <w:p>
            <w:pPr>
              <w:snapToGrid w:val="0"/>
              <w:spacing w:line="240" w:lineRule="atLeast"/>
              <w:jc w:val="center"/>
              <w:rPr>
                <w:rFonts w:ascii="仿宋_GB2312" w:hAnsi="宋体" w:eastAsia="仿宋_GB2312"/>
                <w:kern w:val="0"/>
              </w:rPr>
            </w:pPr>
            <w:r>
              <w:rPr>
                <w:rFonts w:hint="eastAsia" w:ascii="仿宋_GB2312" w:hAnsi="宋体" w:eastAsia="仿宋_GB2312" w:cs="仿宋_GB2312"/>
                <w:kern w:val="0"/>
              </w:rPr>
              <w:t>上海市水利工程集团有限公司</w:t>
            </w:r>
          </w:p>
        </w:tc>
        <w:tc>
          <w:tcPr>
            <w:tcW w:w="1484" w:type="dxa"/>
            <w:vAlign w:val="center"/>
          </w:tcPr>
          <w:p>
            <w:pPr>
              <w:snapToGrid w:val="0"/>
              <w:spacing w:line="240" w:lineRule="atLeast"/>
              <w:jc w:val="center"/>
              <w:rPr>
                <w:rFonts w:ascii="仿宋_GB2312" w:hAnsi="宋体" w:eastAsia="仿宋_GB2312"/>
                <w:kern w:val="0"/>
              </w:rPr>
            </w:pPr>
            <w:r>
              <w:rPr>
                <w:rFonts w:ascii="仿宋_GB2312" w:hAnsi="宋体" w:eastAsia="仿宋_GB2312" w:cs="仿宋_GB2312"/>
                <w:kern w:val="0"/>
              </w:rPr>
              <w:t>3999.8676</w:t>
            </w:r>
          </w:p>
        </w:tc>
        <w:tc>
          <w:tcPr>
            <w:tcW w:w="1093" w:type="dxa"/>
            <w:vAlign w:val="center"/>
          </w:tcPr>
          <w:p>
            <w:pPr>
              <w:snapToGrid w:val="0"/>
              <w:spacing w:line="240" w:lineRule="atLeast"/>
              <w:jc w:val="center"/>
              <w:rPr>
                <w:rFonts w:ascii="仿宋_GB2312" w:hAnsi="宋体" w:eastAsia="仿宋_GB2312"/>
                <w:kern w:val="0"/>
              </w:rPr>
            </w:pPr>
            <w:r>
              <w:rPr>
                <w:rFonts w:ascii="仿宋_GB2312" w:hAnsi="宋体" w:eastAsia="仿宋_GB2312" w:cs="仿宋_GB2312"/>
                <w:kern w:val="0"/>
              </w:rPr>
              <w:t>0</w:t>
            </w:r>
          </w:p>
        </w:tc>
        <w:tc>
          <w:tcPr>
            <w:tcW w:w="1199" w:type="dxa"/>
            <w:vAlign w:val="center"/>
          </w:tcPr>
          <w:p>
            <w:pPr>
              <w:snapToGrid w:val="0"/>
              <w:spacing w:line="240" w:lineRule="atLeast"/>
              <w:jc w:val="center"/>
              <w:rPr>
                <w:rFonts w:ascii="仿宋_GB2312" w:hAnsi="宋体" w:eastAsia="仿宋_GB2312"/>
                <w:kern w:val="0"/>
              </w:rPr>
            </w:pPr>
            <w:r>
              <w:rPr>
                <w:rFonts w:hint="eastAsia" w:ascii="仿宋_GB2312" w:hAnsi="宋体" w:eastAsia="仿宋_GB2312" w:cs="仿宋_GB2312"/>
                <w:kern w:val="0"/>
              </w:rPr>
              <w:t>公开招标</w:t>
            </w:r>
            <w:r>
              <w:rPr>
                <w:rFonts w:ascii="仿宋_GB2312" w:hAnsi="宋体" w:eastAsia="仿宋_GB2312" w:cs="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exact"/>
        </w:trPr>
        <w:tc>
          <w:tcPr>
            <w:tcW w:w="522" w:type="dxa"/>
            <w:vAlign w:val="center"/>
          </w:tcPr>
          <w:p>
            <w:pPr>
              <w:snapToGrid w:val="0"/>
              <w:spacing w:line="240" w:lineRule="atLeast"/>
              <w:jc w:val="center"/>
              <w:rPr>
                <w:rFonts w:ascii="仿宋_GB2312" w:hAnsi="宋体" w:eastAsia="仿宋_GB2312"/>
                <w:kern w:val="0"/>
              </w:rPr>
            </w:pPr>
            <w:r>
              <w:rPr>
                <w:rFonts w:ascii="仿宋_GB2312" w:hAnsi="宋体" w:eastAsia="仿宋_GB2312" w:cs="仿宋_GB2312"/>
                <w:kern w:val="0"/>
              </w:rPr>
              <w:t>8</w:t>
            </w:r>
          </w:p>
        </w:tc>
        <w:tc>
          <w:tcPr>
            <w:tcW w:w="1313" w:type="dxa"/>
            <w:vAlign w:val="center"/>
          </w:tcPr>
          <w:p>
            <w:pPr>
              <w:snapToGrid w:val="0"/>
              <w:spacing w:line="240" w:lineRule="atLeast"/>
              <w:jc w:val="center"/>
              <w:rPr>
                <w:rFonts w:ascii="仿宋_GB2312" w:hAnsi="宋体" w:eastAsia="仿宋_GB2312" w:cs="仿宋_GB2312"/>
                <w:kern w:val="0"/>
              </w:rPr>
            </w:pPr>
            <w:r>
              <w:rPr>
                <w:rFonts w:ascii="仿宋_GB2312" w:hAnsi="宋体" w:eastAsia="仿宋_GB2312" w:cs="仿宋_GB2312"/>
                <w:kern w:val="0"/>
              </w:rPr>
              <w:t xml:space="preserve">1802JS0019 </w:t>
            </w:r>
          </w:p>
        </w:tc>
        <w:tc>
          <w:tcPr>
            <w:tcW w:w="673" w:type="dxa"/>
            <w:vAlign w:val="center"/>
          </w:tcPr>
          <w:p>
            <w:pPr>
              <w:snapToGrid w:val="0"/>
              <w:spacing w:line="240" w:lineRule="atLeast"/>
              <w:jc w:val="center"/>
              <w:rPr>
                <w:rFonts w:ascii="仿宋_GB2312" w:hAnsi="宋体" w:eastAsia="仿宋_GB2312" w:cs="仿宋_GB2312"/>
                <w:kern w:val="0"/>
              </w:rPr>
            </w:pPr>
            <w:r>
              <w:rPr>
                <w:rFonts w:ascii="仿宋_GB2312" w:hAnsi="宋体" w:eastAsia="仿宋_GB2312" w:cs="仿宋_GB2312"/>
                <w:kern w:val="0"/>
              </w:rPr>
              <w:t>C01</w:t>
            </w:r>
          </w:p>
        </w:tc>
        <w:tc>
          <w:tcPr>
            <w:tcW w:w="1906" w:type="dxa"/>
            <w:vAlign w:val="center"/>
          </w:tcPr>
          <w:p>
            <w:pPr>
              <w:snapToGrid w:val="0"/>
              <w:spacing w:line="240" w:lineRule="atLeast"/>
              <w:jc w:val="center"/>
              <w:rPr>
                <w:rFonts w:ascii="仿宋_GB2312" w:hAnsi="宋体" w:eastAsia="仿宋_GB2312"/>
                <w:kern w:val="0"/>
              </w:rPr>
            </w:pPr>
            <w:r>
              <w:rPr>
                <w:rFonts w:hint="eastAsia" w:ascii="仿宋_GB2312" w:hAnsi="宋体" w:eastAsia="仿宋_GB2312" w:cs="仿宋_GB2312"/>
                <w:kern w:val="0"/>
              </w:rPr>
              <w:t>上海新金山工业投资发展有限公司</w:t>
            </w:r>
          </w:p>
        </w:tc>
        <w:tc>
          <w:tcPr>
            <w:tcW w:w="3623" w:type="dxa"/>
            <w:vAlign w:val="center"/>
          </w:tcPr>
          <w:p>
            <w:pPr>
              <w:snapToGrid w:val="0"/>
              <w:spacing w:line="240" w:lineRule="atLeast"/>
              <w:jc w:val="center"/>
              <w:rPr>
                <w:rFonts w:ascii="仿宋_GB2312" w:hAnsi="宋体" w:eastAsia="仿宋_GB2312"/>
                <w:kern w:val="0"/>
              </w:rPr>
            </w:pPr>
            <w:r>
              <w:rPr>
                <w:rFonts w:hint="eastAsia" w:ascii="仿宋_GB2312" w:hAnsi="宋体" w:eastAsia="仿宋_GB2312" w:cs="仿宋_GB2312"/>
                <w:kern w:val="0"/>
              </w:rPr>
              <w:t>金山工业区主中心配套幼儿园新建工程</w:t>
            </w:r>
            <w:r>
              <w:rPr>
                <w:rFonts w:ascii="仿宋_GB2312" w:hAnsi="宋体" w:eastAsia="仿宋_GB2312" w:cs="仿宋_GB2312"/>
                <w:kern w:val="0"/>
              </w:rPr>
              <w:t xml:space="preserve">  </w:t>
            </w:r>
          </w:p>
        </w:tc>
        <w:tc>
          <w:tcPr>
            <w:tcW w:w="2361" w:type="dxa"/>
            <w:vAlign w:val="center"/>
          </w:tcPr>
          <w:p>
            <w:pPr>
              <w:snapToGrid w:val="0"/>
              <w:spacing w:line="240" w:lineRule="atLeast"/>
              <w:jc w:val="center"/>
              <w:rPr>
                <w:rFonts w:ascii="仿宋_GB2312" w:hAnsi="宋体" w:eastAsia="仿宋_GB2312"/>
                <w:kern w:val="0"/>
              </w:rPr>
            </w:pPr>
            <w:r>
              <w:rPr>
                <w:rFonts w:hint="eastAsia" w:ascii="仿宋_GB2312" w:hAnsi="宋体" w:eastAsia="仿宋_GB2312" w:cs="仿宋_GB2312"/>
                <w:kern w:val="0"/>
              </w:rPr>
              <w:t>上海建溧建设集团有限公司</w:t>
            </w:r>
          </w:p>
        </w:tc>
        <w:tc>
          <w:tcPr>
            <w:tcW w:w="1484" w:type="dxa"/>
            <w:vAlign w:val="center"/>
          </w:tcPr>
          <w:p>
            <w:pPr>
              <w:snapToGrid w:val="0"/>
              <w:spacing w:line="240" w:lineRule="atLeast"/>
              <w:jc w:val="center"/>
              <w:rPr>
                <w:rFonts w:ascii="仿宋_GB2312" w:hAnsi="宋体" w:eastAsia="仿宋_GB2312"/>
                <w:kern w:val="0"/>
              </w:rPr>
            </w:pPr>
            <w:r>
              <w:rPr>
                <w:rFonts w:ascii="仿宋_GB2312" w:hAnsi="宋体" w:eastAsia="仿宋_GB2312" w:cs="仿宋_GB2312"/>
                <w:kern w:val="0"/>
              </w:rPr>
              <w:t>3513.65</w:t>
            </w:r>
          </w:p>
        </w:tc>
        <w:tc>
          <w:tcPr>
            <w:tcW w:w="1093" w:type="dxa"/>
            <w:vAlign w:val="center"/>
          </w:tcPr>
          <w:p>
            <w:pPr>
              <w:snapToGrid w:val="0"/>
              <w:spacing w:line="240" w:lineRule="atLeast"/>
              <w:jc w:val="center"/>
              <w:rPr>
                <w:rFonts w:ascii="仿宋_GB2312" w:hAnsi="宋体" w:eastAsia="仿宋_GB2312"/>
                <w:kern w:val="0"/>
              </w:rPr>
            </w:pPr>
            <w:r>
              <w:rPr>
                <w:rFonts w:ascii="仿宋_GB2312" w:hAnsi="宋体" w:eastAsia="仿宋_GB2312" w:cs="仿宋_GB2312"/>
                <w:kern w:val="0"/>
              </w:rPr>
              <w:t>6729.12</w:t>
            </w:r>
          </w:p>
        </w:tc>
        <w:tc>
          <w:tcPr>
            <w:tcW w:w="1199" w:type="dxa"/>
            <w:vAlign w:val="center"/>
          </w:tcPr>
          <w:p>
            <w:pPr>
              <w:snapToGrid w:val="0"/>
              <w:spacing w:line="240" w:lineRule="atLeast"/>
              <w:jc w:val="center"/>
              <w:rPr>
                <w:rFonts w:ascii="仿宋_GB2312" w:hAnsi="宋体" w:eastAsia="仿宋_GB2312"/>
                <w:kern w:val="0"/>
              </w:rPr>
            </w:pPr>
            <w:r>
              <w:rPr>
                <w:rFonts w:hint="eastAsia" w:ascii="仿宋_GB2312" w:hAnsi="宋体" w:eastAsia="仿宋_GB2312" w:cs="仿宋_GB2312"/>
                <w:kern w:val="0"/>
              </w:rPr>
              <w:t>公开招标</w:t>
            </w:r>
            <w:r>
              <w:rPr>
                <w:rFonts w:ascii="仿宋_GB2312" w:hAnsi="宋体" w:eastAsia="仿宋_GB2312" w:cs="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exact"/>
        </w:trPr>
        <w:tc>
          <w:tcPr>
            <w:tcW w:w="522" w:type="dxa"/>
            <w:vAlign w:val="center"/>
          </w:tcPr>
          <w:p>
            <w:pPr>
              <w:snapToGrid w:val="0"/>
              <w:spacing w:line="240" w:lineRule="atLeast"/>
              <w:jc w:val="center"/>
              <w:rPr>
                <w:rFonts w:ascii="仿宋_GB2312" w:hAnsi="宋体" w:eastAsia="仿宋_GB2312"/>
                <w:kern w:val="0"/>
              </w:rPr>
            </w:pPr>
            <w:r>
              <w:rPr>
                <w:rFonts w:ascii="仿宋_GB2312" w:hAnsi="宋体" w:eastAsia="仿宋_GB2312" w:cs="仿宋_GB2312"/>
                <w:kern w:val="0"/>
              </w:rPr>
              <w:t>9</w:t>
            </w:r>
          </w:p>
        </w:tc>
        <w:tc>
          <w:tcPr>
            <w:tcW w:w="1313" w:type="dxa"/>
            <w:vAlign w:val="center"/>
          </w:tcPr>
          <w:p>
            <w:pPr>
              <w:snapToGrid w:val="0"/>
              <w:spacing w:line="240" w:lineRule="atLeast"/>
              <w:jc w:val="center"/>
              <w:rPr>
                <w:rFonts w:ascii="仿宋_GB2312" w:hAnsi="宋体" w:eastAsia="仿宋_GB2312" w:cs="仿宋_GB2312"/>
                <w:kern w:val="0"/>
              </w:rPr>
            </w:pPr>
            <w:r>
              <w:rPr>
                <w:rFonts w:ascii="仿宋_GB2312" w:hAnsi="宋体" w:eastAsia="仿宋_GB2312" w:cs="仿宋_GB2312"/>
                <w:kern w:val="0"/>
              </w:rPr>
              <w:t>1902JS0218</w:t>
            </w:r>
          </w:p>
        </w:tc>
        <w:tc>
          <w:tcPr>
            <w:tcW w:w="673" w:type="dxa"/>
            <w:vAlign w:val="center"/>
          </w:tcPr>
          <w:p>
            <w:pPr>
              <w:snapToGrid w:val="0"/>
              <w:spacing w:line="240" w:lineRule="atLeast"/>
              <w:jc w:val="center"/>
              <w:rPr>
                <w:rFonts w:ascii="仿宋_GB2312" w:hAnsi="宋体" w:eastAsia="仿宋_GB2312" w:cs="仿宋_GB2312"/>
                <w:kern w:val="0"/>
              </w:rPr>
            </w:pPr>
            <w:r>
              <w:rPr>
                <w:rFonts w:ascii="仿宋_GB2312" w:hAnsi="宋体" w:eastAsia="仿宋_GB2312" w:cs="仿宋_GB2312"/>
                <w:kern w:val="0"/>
              </w:rPr>
              <w:t>C01</w:t>
            </w:r>
          </w:p>
        </w:tc>
        <w:tc>
          <w:tcPr>
            <w:tcW w:w="1906" w:type="dxa"/>
            <w:vAlign w:val="center"/>
          </w:tcPr>
          <w:p>
            <w:pPr>
              <w:snapToGrid w:val="0"/>
              <w:spacing w:line="240" w:lineRule="atLeast"/>
              <w:jc w:val="center"/>
              <w:rPr>
                <w:rFonts w:ascii="仿宋_GB2312" w:hAnsi="宋体" w:eastAsia="仿宋_GB2312"/>
                <w:kern w:val="0"/>
              </w:rPr>
            </w:pPr>
            <w:r>
              <w:rPr>
                <w:rFonts w:hint="eastAsia" w:ascii="仿宋_GB2312" w:hAnsi="宋体" w:eastAsia="仿宋_GB2312" w:cs="仿宋_GB2312"/>
                <w:kern w:val="0"/>
              </w:rPr>
              <w:t>上海市安装工程集团有限公司</w:t>
            </w:r>
          </w:p>
        </w:tc>
        <w:tc>
          <w:tcPr>
            <w:tcW w:w="3623" w:type="dxa"/>
            <w:vAlign w:val="center"/>
          </w:tcPr>
          <w:p>
            <w:pPr>
              <w:snapToGrid w:val="0"/>
              <w:spacing w:line="240" w:lineRule="atLeast"/>
              <w:jc w:val="center"/>
              <w:rPr>
                <w:rFonts w:ascii="仿宋_GB2312" w:hAnsi="宋体" w:eastAsia="仿宋_GB2312"/>
                <w:kern w:val="0"/>
              </w:rPr>
            </w:pPr>
            <w:r>
              <w:rPr>
                <w:rFonts w:hint="eastAsia" w:ascii="仿宋_GB2312" w:hAnsi="宋体" w:eastAsia="仿宋_GB2312" w:cs="仿宋_GB2312"/>
                <w:kern w:val="0"/>
              </w:rPr>
              <w:t>上海市安装工程集团压力容器制造及技术研发基地项目</w:t>
            </w:r>
            <w:r>
              <w:rPr>
                <w:rFonts w:ascii="仿宋_GB2312" w:hAnsi="宋体" w:eastAsia="仿宋_GB2312" w:cs="仿宋_GB2312"/>
                <w:kern w:val="0"/>
              </w:rPr>
              <w:t xml:space="preserve">  </w:t>
            </w:r>
          </w:p>
        </w:tc>
        <w:tc>
          <w:tcPr>
            <w:tcW w:w="2361" w:type="dxa"/>
            <w:vAlign w:val="center"/>
          </w:tcPr>
          <w:p>
            <w:pPr>
              <w:snapToGrid w:val="0"/>
              <w:spacing w:line="240" w:lineRule="atLeast"/>
              <w:jc w:val="center"/>
              <w:rPr>
                <w:rFonts w:ascii="仿宋_GB2312" w:hAnsi="宋体" w:eastAsia="仿宋_GB2312"/>
                <w:kern w:val="0"/>
              </w:rPr>
            </w:pPr>
            <w:r>
              <w:rPr>
                <w:rFonts w:hint="eastAsia" w:ascii="仿宋_GB2312" w:hAnsi="宋体" w:eastAsia="仿宋_GB2312" w:cs="仿宋_GB2312"/>
                <w:kern w:val="0"/>
              </w:rPr>
              <w:t>上海市安装工程集团有限公司</w:t>
            </w:r>
          </w:p>
        </w:tc>
        <w:tc>
          <w:tcPr>
            <w:tcW w:w="1484" w:type="dxa"/>
            <w:vAlign w:val="center"/>
          </w:tcPr>
          <w:p>
            <w:pPr>
              <w:snapToGrid w:val="0"/>
              <w:spacing w:line="240" w:lineRule="atLeast"/>
              <w:jc w:val="center"/>
              <w:rPr>
                <w:rFonts w:ascii="仿宋_GB2312" w:hAnsi="宋体" w:eastAsia="仿宋_GB2312"/>
                <w:kern w:val="0"/>
              </w:rPr>
            </w:pPr>
            <w:r>
              <w:rPr>
                <w:rFonts w:ascii="仿宋_GB2312" w:hAnsi="宋体" w:eastAsia="仿宋_GB2312" w:cs="仿宋_GB2312"/>
                <w:kern w:val="0"/>
              </w:rPr>
              <w:t>5106.6802</w:t>
            </w:r>
          </w:p>
        </w:tc>
        <w:tc>
          <w:tcPr>
            <w:tcW w:w="1093" w:type="dxa"/>
            <w:vAlign w:val="center"/>
          </w:tcPr>
          <w:p>
            <w:pPr>
              <w:snapToGrid w:val="0"/>
              <w:spacing w:line="240" w:lineRule="atLeast"/>
              <w:jc w:val="center"/>
              <w:rPr>
                <w:rFonts w:ascii="仿宋_GB2312" w:hAnsi="宋体" w:eastAsia="仿宋_GB2312" w:cs="仿宋_GB2312"/>
                <w:kern w:val="0"/>
              </w:rPr>
            </w:pPr>
            <w:r>
              <w:rPr>
                <w:rFonts w:ascii="仿宋_GB2312" w:hAnsi="宋体" w:eastAsia="仿宋_GB2312" w:cs="仿宋_GB2312"/>
                <w:kern w:val="0"/>
              </w:rPr>
              <w:t>11010.04</w:t>
            </w:r>
          </w:p>
        </w:tc>
        <w:tc>
          <w:tcPr>
            <w:tcW w:w="1199" w:type="dxa"/>
            <w:vAlign w:val="center"/>
          </w:tcPr>
          <w:p>
            <w:pPr>
              <w:snapToGrid w:val="0"/>
              <w:spacing w:line="240" w:lineRule="atLeast"/>
              <w:jc w:val="center"/>
              <w:rPr>
                <w:rFonts w:ascii="仿宋_GB2312" w:hAnsi="宋体" w:eastAsia="仿宋_GB2312"/>
                <w:kern w:val="0"/>
              </w:rPr>
            </w:pPr>
            <w:r>
              <w:rPr>
                <w:rFonts w:hint="eastAsia" w:ascii="仿宋_GB2312" w:hAnsi="宋体" w:eastAsia="仿宋_GB2312" w:cs="仿宋_GB2312"/>
                <w:kern w:val="0"/>
              </w:rPr>
              <w:t>直接发包（调正）</w:t>
            </w:r>
          </w:p>
        </w:tc>
      </w:tr>
    </w:tbl>
    <w:p>
      <w:pPr>
        <w:snapToGrid w:val="0"/>
        <w:spacing w:before="240" w:line="240" w:lineRule="atLeast"/>
      </w:pPr>
    </w:p>
    <w:sectPr>
      <w:pgSz w:w="16838" w:h="11906" w:orient="landscape"/>
      <w:pgMar w:top="1304" w:right="1440" w:bottom="1304"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0"/>
    <w:family w:val="decorative"/>
    <w:pitch w:val="default"/>
    <w:sig w:usb0="00007A87" w:usb1="80000000" w:usb2="00000008" w:usb3="00000000" w:csb0="400001FF" w:csb1="FFFF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Courier New">
    <w:panose1 w:val="02070309020205020404"/>
    <w:charset w:val="00"/>
    <w:family w:val="swiss"/>
    <w:pitch w:val="default"/>
    <w:sig w:usb0="00007A87" w:usb1="80000000" w:usb2="00000008" w:usb3="00000000" w:csb0="400001FF" w:csb1="FFFF0000"/>
  </w:font>
  <w:font w:name="Tahoma">
    <w:panose1 w:val="020B0604030504040204"/>
    <w:charset w:val="00"/>
    <w:family w:val="decorative"/>
    <w:pitch w:val="default"/>
    <w:sig w:usb0="61007A87" w:usb1="80000000" w:usb2="00000008" w:usb3="00000000" w:csb0="200101FF" w:csb1="20280000"/>
  </w:font>
  <w:font w:name="Verdana">
    <w:panose1 w:val="020B0604030504040204"/>
    <w:charset w:val="00"/>
    <w:family w:val="decorative"/>
    <w:pitch w:val="default"/>
    <w:sig w:usb0="00000287" w:usb1="00000000"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方正楷体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cs="Times New Roman"/>
      </w:rPr>
    </w:pPr>
    <w:r>
      <w:rPr>
        <w:rStyle w:val="27"/>
      </w:rPr>
      <w:fldChar w:fldCharType="begin"/>
    </w:r>
    <w:r>
      <w:rPr>
        <w:rStyle w:val="27"/>
      </w:rPr>
      <w:instrText xml:space="preserve"> PAGE </w:instrText>
    </w:r>
    <w:r>
      <w:rPr>
        <w:rStyle w:val="27"/>
      </w:rPr>
      <w:fldChar w:fldCharType="separate"/>
    </w:r>
    <w:r>
      <w:rPr>
        <w:rStyle w:val="27"/>
      </w:rPr>
      <w:t>1</w:t>
    </w:r>
    <w:r>
      <w:rPr>
        <w:rStyle w:val="2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08AF"/>
    <w:rsid w:val="00000FBB"/>
    <w:rsid w:val="000015A1"/>
    <w:rsid w:val="00002ACB"/>
    <w:rsid w:val="00002B4F"/>
    <w:rsid w:val="00002C37"/>
    <w:rsid w:val="00003F17"/>
    <w:rsid w:val="000047ED"/>
    <w:rsid w:val="00004980"/>
    <w:rsid w:val="000049E7"/>
    <w:rsid w:val="00004D7E"/>
    <w:rsid w:val="00004E9D"/>
    <w:rsid w:val="00005221"/>
    <w:rsid w:val="0000651D"/>
    <w:rsid w:val="0000687A"/>
    <w:rsid w:val="00011114"/>
    <w:rsid w:val="00011505"/>
    <w:rsid w:val="0001228E"/>
    <w:rsid w:val="00013AB1"/>
    <w:rsid w:val="0001412D"/>
    <w:rsid w:val="0001418B"/>
    <w:rsid w:val="000155BC"/>
    <w:rsid w:val="000179CE"/>
    <w:rsid w:val="000210C8"/>
    <w:rsid w:val="0002274A"/>
    <w:rsid w:val="00024C3E"/>
    <w:rsid w:val="00025147"/>
    <w:rsid w:val="000255EC"/>
    <w:rsid w:val="00026AE4"/>
    <w:rsid w:val="00026CEC"/>
    <w:rsid w:val="00026EB3"/>
    <w:rsid w:val="000304FE"/>
    <w:rsid w:val="000305A1"/>
    <w:rsid w:val="00031AFB"/>
    <w:rsid w:val="00031BC8"/>
    <w:rsid w:val="000325BC"/>
    <w:rsid w:val="00032697"/>
    <w:rsid w:val="00032B50"/>
    <w:rsid w:val="00032E20"/>
    <w:rsid w:val="000334CB"/>
    <w:rsid w:val="00033D0C"/>
    <w:rsid w:val="0003587A"/>
    <w:rsid w:val="000369DF"/>
    <w:rsid w:val="00036DFA"/>
    <w:rsid w:val="000379F5"/>
    <w:rsid w:val="00037F7D"/>
    <w:rsid w:val="000402B5"/>
    <w:rsid w:val="000407C1"/>
    <w:rsid w:val="00040872"/>
    <w:rsid w:val="00040EA1"/>
    <w:rsid w:val="00041D4F"/>
    <w:rsid w:val="00044199"/>
    <w:rsid w:val="000457F0"/>
    <w:rsid w:val="00045EE7"/>
    <w:rsid w:val="000463AA"/>
    <w:rsid w:val="0004663B"/>
    <w:rsid w:val="00046A8C"/>
    <w:rsid w:val="000475E0"/>
    <w:rsid w:val="0004782C"/>
    <w:rsid w:val="00047D31"/>
    <w:rsid w:val="00047DAA"/>
    <w:rsid w:val="000502A9"/>
    <w:rsid w:val="000506B9"/>
    <w:rsid w:val="00051514"/>
    <w:rsid w:val="000526C6"/>
    <w:rsid w:val="00052EBA"/>
    <w:rsid w:val="000541ED"/>
    <w:rsid w:val="00055012"/>
    <w:rsid w:val="000564B4"/>
    <w:rsid w:val="00057B13"/>
    <w:rsid w:val="00060A6C"/>
    <w:rsid w:val="00061502"/>
    <w:rsid w:val="00061FB8"/>
    <w:rsid w:val="00062153"/>
    <w:rsid w:val="00062281"/>
    <w:rsid w:val="0006326F"/>
    <w:rsid w:val="0006443C"/>
    <w:rsid w:val="0006510C"/>
    <w:rsid w:val="000663D5"/>
    <w:rsid w:val="00067A05"/>
    <w:rsid w:val="00067F4E"/>
    <w:rsid w:val="00070CE9"/>
    <w:rsid w:val="00072B3B"/>
    <w:rsid w:val="000730B1"/>
    <w:rsid w:val="000731F0"/>
    <w:rsid w:val="00073554"/>
    <w:rsid w:val="00074C45"/>
    <w:rsid w:val="000750DB"/>
    <w:rsid w:val="0007597B"/>
    <w:rsid w:val="00076148"/>
    <w:rsid w:val="00076AF3"/>
    <w:rsid w:val="00076BC4"/>
    <w:rsid w:val="000773D2"/>
    <w:rsid w:val="00077982"/>
    <w:rsid w:val="000820E3"/>
    <w:rsid w:val="00082227"/>
    <w:rsid w:val="00082EB2"/>
    <w:rsid w:val="000830F7"/>
    <w:rsid w:val="000831E6"/>
    <w:rsid w:val="00083ABF"/>
    <w:rsid w:val="00083F91"/>
    <w:rsid w:val="00084B9C"/>
    <w:rsid w:val="0008526D"/>
    <w:rsid w:val="000875A5"/>
    <w:rsid w:val="00087F16"/>
    <w:rsid w:val="0009021A"/>
    <w:rsid w:val="00091BF0"/>
    <w:rsid w:val="00092385"/>
    <w:rsid w:val="000927AF"/>
    <w:rsid w:val="000929F6"/>
    <w:rsid w:val="0009318B"/>
    <w:rsid w:val="000931D4"/>
    <w:rsid w:val="0009469D"/>
    <w:rsid w:val="00094D20"/>
    <w:rsid w:val="000950E6"/>
    <w:rsid w:val="000953F3"/>
    <w:rsid w:val="000956BF"/>
    <w:rsid w:val="00096F97"/>
    <w:rsid w:val="00097AC0"/>
    <w:rsid w:val="00097EC9"/>
    <w:rsid w:val="00097FE0"/>
    <w:rsid w:val="000A0BAD"/>
    <w:rsid w:val="000A0D36"/>
    <w:rsid w:val="000A1043"/>
    <w:rsid w:val="000A143C"/>
    <w:rsid w:val="000A1824"/>
    <w:rsid w:val="000A28CA"/>
    <w:rsid w:val="000A32A2"/>
    <w:rsid w:val="000A3549"/>
    <w:rsid w:val="000A354B"/>
    <w:rsid w:val="000A365E"/>
    <w:rsid w:val="000A369E"/>
    <w:rsid w:val="000A3786"/>
    <w:rsid w:val="000A3C71"/>
    <w:rsid w:val="000A4776"/>
    <w:rsid w:val="000A4F60"/>
    <w:rsid w:val="000A5835"/>
    <w:rsid w:val="000A6C8F"/>
    <w:rsid w:val="000A7073"/>
    <w:rsid w:val="000B009C"/>
    <w:rsid w:val="000B054E"/>
    <w:rsid w:val="000B1807"/>
    <w:rsid w:val="000B1E8E"/>
    <w:rsid w:val="000B214E"/>
    <w:rsid w:val="000B302F"/>
    <w:rsid w:val="000B3287"/>
    <w:rsid w:val="000B3619"/>
    <w:rsid w:val="000B3CA3"/>
    <w:rsid w:val="000B456D"/>
    <w:rsid w:val="000B5187"/>
    <w:rsid w:val="000B6BE3"/>
    <w:rsid w:val="000C0A97"/>
    <w:rsid w:val="000C263D"/>
    <w:rsid w:val="000C2D1D"/>
    <w:rsid w:val="000C2D7D"/>
    <w:rsid w:val="000C3701"/>
    <w:rsid w:val="000C40F5"/>
    <w:rsid w:val="000C4851"/>
    <w:rsid w:val="000C4F3C"/>
    <w:rsid w:val="000C53AC"/>
    <w:rsid w:val="000C604C"/>
    <w:rsid w:val="000C63E7"/>
    <w:rsid w:val="000C6CF7"/>
    <w:rsid w:val="000C707C"/>
    <w:rsid w:val="000C79F8"/>
    <w:rsid w:val="000D099F"/>
    <w:rsid w:val="000D3832"/>
    <w:rsid w:val="000D4B28"/>
    <w:rsid w:val="000D4B9F"/>
    <w:rsid w:val="000D57F7"/>
    <w:rsid w:val="000D5F27"/>
    <w:rsid w:val="000D7A78"/>
    <w:rsid w:val="000D7D91"/>
    <w:rsid w:val="000E3704"/>
    <w:rsid w:val="000E37EB"/>
    <w:rsid w:val="000E4838"/>
    <w:rsid w:val="000E4938"/>
    <w:rsid w:val="000E5862"/>
    <w:rsid w:val="000E64F9"/>
    <w:rsid w:val="000E7C4B"/>
    <w:rsid w:val="000F004A"/>
    <w:rsid w:val="000F00C0"/>
    <w:rsid w:val="000F0793"/>
    <w:rsid w:val="000F16E0"/>
    <w:rsid w:val="000F18F3"/>
    <w:rsid w:val="000F1F9E"/>
    <w:rsid w:val="000F205F"/>
    <w:rsid w:val="000F3DDB"/>
    <w:rsid w:val="000F4A22"/>
    <w:rsid w:val="000F5A07"/>
    <w:rsid w:val="000F6277"/>
    <w:rsid w:val="000F649B"/>
    <w:rsid w:val="000F6672"/>
    <w:rsid w:val="00100401"/>
    <w:rsid w:val="00100837"/>
    <w:rsid w:val="0010249C"/>
    <w:rsid w:val="001027F1"/>
    <w:rsid w:val="0010286C"/>
    <w:rsid w:val="0010370A"/>
    <w:rsid w:val="001051BC"/>
    <w:rsid w:val="0010565D"/>
    <w:rsid w:val="00105D5C"/>
    <w:rsid w:val="00106096"/>
    <w:rsid w:val="00107421"/>
    <w:rsid w:val="00107949"/>
    <w:rsid w:val="00107E71"/>
    <w:rsid w:val="001106AD"/>
    <w:rsid w:val="001106E0"/>
    <w:rsid w:val="00110A85"/>
    <w:rsid w:val="0011156F"/>
    <w:rsid w:val="00113C01"/>
    <w:rsid w:val="00115488"/>
    <w:rsid w:val="00115A6F"/>
    <w:rsid w:val="00116358"/>
    <w:rsid w:val="001177FB"/>
    <w:rsid w:val="001178AF"/>
    <w:rsid w:val="001209B3"/>
    <w:rsid w:val="00120AB6"/>
    <w:rsid w:val="00120E35"/>
    <w:rsid w:val="001211A2"/>
    <w:rsid w:val="001212D9"/>
    <w:rsid w:val="0012145C"/>
    <w:rsid w:val="00121BBB"/>
    <w:rsid w:val="00123533"/>
    <w:rsid w:val="0012568D"/>
    <w:rsid w:val="0012647E"/>
    <w:rsid w:val="001273D1"/>
    <w:rsid w:val="00127731"/>
    <w:rsid w:val="00130DB9"/>
    <w:rsid w:val="00130F9F"/>
    <w:rsid w:val="0013131E"/>
    <w:rsid w:val="001313C1"/>
    <w:rsid w:val="00132842"/>
    <w:rsid w:val="00133104"/>
    <w:rsid w:val="001339E7"/>
    <w:rsid w:val="00134334"/>
    <w:rsid w:val="00134AC8"/>
    <w:rsid w:val="00135809"/>
    <w:rsid w:val="00135B7A"/>
    <w:rsid w:val="00136078"/>
    <w:rsid w:val="0013622A"/>
    <w:rsid w:val="001371A4"/>
    <w:rsid w:val="00137231"/>
    <w:rsid w:val="00137B83"/>
    <w:rsid w:val="001405C7"/>
    <w:rsid w:val="00140FE5"/>
    <w:rsid w:val="001411AA"/>
    <w:rsid w:val="00141FF0"/>
    <w:rsid w:val="001426FE"/>
    <w:rsid w:val="00142839"/>
    <w:rsid w:val="00142AB8"/>
    <w:rsid w:val="001430A1"/>
    <w:rsid w:val="00144813"/>
    <w:rsid w:val="00145998"/>
    <w:rsid w:val="00145EF0"/>
    <w:rsid w:val="0014620A"/>
    <w:rsid w:val="00147317"/>
    <w:rsid w:val="001473D7"/>
    <w:rsid w:val="00150215"/>
    <w:rsid w:val="00150E12"/>
    <w:rsid w:val="00151602"/>
    <w:rsid w:val="00151FB3"/>
    <w:rsid w:val="001543AA"/>
    <w:rsid w:val="0015607C"/>
    <w:rsid w:val="00157BE5"/>
    <w:rsid w:val="001600B9"/>
    <w:rsid w:val="001606C9"/>
    <w:rsid w:val="00164684"/>
    <w:rsid w:val="00164CCB"/>
    <w:rsid w:val="00164F0D"/>
    <w:rsid w:val="00165103"/>
    <w:rsid w:val="00165330"/>
    <w:rsid w:val="001659B3"/>
    <w:rsid w:val="00165BE9"/>
    <w:rsid w:val="00166D74"/>
    <w:rsid w:val="00167D85"/>
    <w:rsid w:val="00170233"/>
    <w:rsid w:val="001706CA"/>
    <w:rsid w:val="00170DAD"/>
    <w:rsid w:val="00170EB3"/>
    <w:rsid w:val="001719F3"/>
    <w:rsid w:val="00171F21"/>
    <w:rsid w:val="00171FBA"/>
    <w:rsid w:val="0017279E"/>
    <w:rsid w:val="00172AB8"/>
    <w:rsid w:val="0017455F"/>
    <w:rsid w:val="00174B82"/>
    <w:rsid w:val="00175A87"/>
    <w:rsid w:val="00177D34"/>
    <w:rsid w:val="00180505"/>
    <w:rsid w:val="0018199F"/>
    <w:rsid w:val="0018238E"/>
    <w:rsid w:val="00182F9E"/>
    <w:rsid w:val="001857F7"/>
    <w:rsid w:val="00185C83"/>
    <w:rsid w:val="00185E40"/>
    <w:rsid w:val="0018682D"/>
    <w:rsid w:val="00186A2D"/>
    <w:rsid w:val="001870E4"/>
    <w:rsid w:val="00190FAE"/>
    <w:rsid w:val="00191A7A"/>
    <w:rsid w:val="00192428"/>
    <w:rsid w:val="001938B6"/>
    <w:rsid w:val="00193DA5"/>
    <w:rsid w:val="00194383"/>
    <w:rsid w:val="001946AD"/>
    <w:rsid w:val="00195469"/>
    <w:rsid w:val="00195741"/>
    <w:rsid w:val="00195AAB"/>
    <w:rsid w:val="00196BFE"/>
    <w:rsid w:val="00197412"/>
    <w:rsid w:val="0019741B"/>
    <w:rsid w:val="001A0089"/>
    <w:rsid w:val="001A0178"/>
    <w:rsid w:val="001A0799"/>
    <w:rsid w:val="001A2475"/>
    <w:rsid w:val="001A4623"/>
    <w:rsid w:val="001A4CE2"/>
    <w:rsid w:val="001A537E"/>
    <w:rsid w:val="001A5CF6"/>
    <w:rsid w:val="001A6923"/>
    <w:rsid w:val="001A7EBD"/>
    <w:rsid w:val="001B0117"/>
    <w:rsid w:val="001B0F69"/>
    <w:rsid w:val="001B34DC"/>
    <w:rsid w:val="001B3C2E"/>
    <w:rsid w:val="001B510C"/>
    <w:rsid w:val="001B5E51"/>
    <w:rsid w:val="001B6A25"/>
    <w:rsid w:val="001B6C48"/>
    <w:rsid w:val="001C07D3"/>
    <w:rsid w:val="001C124A"/>
    <w:rsid w:val="001C13E5"/>
    <w:rsid w:val="001C1B3E"/>
    <w:rsid w:val="001C1B8E"/>
    <w:rsid w:val="001C1F1D"/>
    <w:rsid w:val="001C25C8"/>
    <w:rsid w:val="001C339C"/>
    <w:rsid w:val="001C4AFF"/>
    <w:rsid w:val="001C629D"/>
    <w:rsid w:val="001D0DDB"/>
    <w:rsid w:val="001D2332"/>
    <w:rsid w:val="001D3D2A"/>
    <w:rsid w:val="001D461B"/>
    <w:rsid w:val="001D4BAB"/>
    <w:rsid w:val="001D554A"/>
    <w:rsid w:val="001D5679"/>
    <w:rsid w:val="001D5D00"/>
    <w:rsid w:val="001D793D"/>
    <w:rsid w:val="001D7B4E"/>
    <w:rsid w:val="001E08C0"/>
    <w:rsid w:val="001E3BBE"/>
    <w:rsid w:val="001E4BD2"/>
    <w:rsid w:val="001E6495"/>
    <w:rsid w:val="001E70B3"/>
    <w:rsid w:val="001E72C4"/>
    <w:rsid w:val="001E7ACB"/>
    <w:rsid w:val="001F0382"/>
    <w:rsid w:val="001F07A1"/>
    <w:rsid w:val="001F0E4F"/>
    <w:rsid w:val="001F19A5"/>
    <w:rsid w:val="001F2724"/>
    <w:rsid w:val="001F27A2"/>
    <w:rsid w:val="001F38C3"/>
    <w:rsid w:val="001F5813"/>
    <w:rsid w:val="001F5EFB"/>
    <w:rsid w:val="001F6FD8"/>
    <w:rsid w:val="001F7E1F"/>
    <w:rsid w:val="002005CB"/>
    <w:rsid w:val="00200AAE"/>
    <w:rsid w:val="00203959"/>
    <w:rsid w:val="00203BB7"/>
    <w:rsid w:val="0020413E"/>
    <w:rsid w:val="00204169"/>
    <w:rsid w:val="00204318"/>
    <w:rsid w:val="00206ED6"/>
    <w:rsid w:val="00207431"/>
    <w:rsid w:val="00207868"/>
    <w:rsid w:val="0020787A"/>
    <w:rsid w:val="00207982"/>
    <w:rsid w:val="00207A51"/>
    <w:rsid w:val="002101D9"/>
    <w:rsid w:val="002108D7"/>
    <w:rsid w:val="00210AA2"/>
    <w:rsid w:val="00211237"/>
    <w:rsid w:val="0021194D"/>
    <w:rsid w:val="00211DE1"/>
    <w:rsid w:val="00212661"/>
    <w:rsid w:val="00213263"/>
    <w:rsid w:val="002144DE"/>
    <w:rsid w:val="00214D06"/>
    <w:rsid w:val="00214FEF"/>
    <w:rsid w:val="00216834"/>
    <w:rsid w:val="002174E5"/>
    <w:rsid w:val="00217CD6"/>
    <w:rsid w:val="00217D6B"/>
    <w:rsid w:val="00217ECD"/>
    <w:rsid w:val="002203A8"/>
    <w:rsid w:val="002206F3"/>
    <w:rsid w:val="00221CC3"/>
    <w:rsid w:val="002237EE"/>
    <w:rsid w:val="002254EF"/>
    <w:rsid w:val="002258B5"/>
    <w:rsid w:val="00226594"/>
    <w:rsid w:val="0022670E"/>
    <w:rsid w:val="0022701C"/>
    <w:rsid w:val="002270F3"/>
    <w:rsid w:val="002276AD"/>
    <w:rsid w:val="00227E0F"/>
    <w:rsid w:val="002302FB"/>
    <w:rsid w:val="00230C54"/>
    <w:rsid w:val="002334E7"/>
    <w:rsid w:val="002343EE"/>
    <w:rsid w:val="00234854"/>
    <w:rsid w:val="0023541F"/>
    <w:rsid w:val="00235833"/>
    <w:rsid w:val="002366E4"/>
    <w:rsid w:val="00237890"/>
    <w:rsid w:val="00240C20"/>
    <w:rsid w:val="0024137C"/>
    <w:rsid w:val="00242989"/>
    <w:rsid w:val="0024461F"/>
    <w:rsid w:val="00244A18"/>
    <w:rsid w:val="00244F68"/>
    <w:rsid w:val="002451F4"/>
    <w:rsid w:val="00246978"/>
    <w:rsid w:val="00247684"/>
    <w:rsid w:val="00247EB5"/>
    <w:rsid w:val="002509F2"/>
    <w:rsid w:val="0025194B"/>
    <w:rsid w:val="00252790"/>
    <w:rsid w:val="0025296F"/>
    <w:rsid w:val="00252E95"/>
    <w:rsid w:val="00253F20"/>
    <w:rsid w:val="002541F4"/>
    <w:rsid w:val="002543FA"/>
    <w:rsid w:val="002562D3"/>
    <w:rsid w:val="00256C37"/>
    <w:rsid w:val="002573B0"/>
    <w:rsid w:val="00260481"/>
    <w:rsid w:val="002622B5"/>
    <w:rsid w:val="00262D38"/>
    <w:rsid w:val="00262F4D"/>
    <w:rsid w:val="002635AF"/>
    <w:rsid w:val="00263A27"/>
    <w:rsid w:val="00264053"/>
    <w:rsid w:val="00265008"/>
    <w:rsid w:val="00265719"/>
    <w:rsid w:val="00265879"/>
    <w:rsid w:val="00265DB1"/>
    <w:rsid w:val="00265DF4"/>
    <w:rsid w:val="00266ECD"/>
    <w:rsid w:val="00267344"/>
    <w:rsid w:val="002700DC"/>
    <w:rsid w:val="0027043E"/>
    <w:rsid w:val="00270B15"/>
    <w:rsid w:val="00270DBE"/>
    <w:rsid w:val="00270F0F"/>
    <w:rsid w:val="00273318"/>
    <w:rsid w:val="00273A77"/>
    <w:rsid w:val="00274200"/>
    <w:rsid w:val="00274204"/>
    <w:rsid w:val="002742AC"/>
    <w:rsid w:val="00274401"/>
    <w:rsid w:val="002746AE"/>
    <w:rsid w:val="00274D4A"/>
    <w:rsid w:val="0027549F"/>
    <w:rsid w:val="0027563B"/>
    <w:rsid w:val="00275D5E"/>
    <w:rsid w:val="00275F3A"/>
    <w:rsid w:val="00275F68"/>
    <w:rsid w:val="002760CF"/>
    <w:rsid w:val="00277D04"/>
    <w:rsid w:val="002801A2"/>
    <w:rsid w:val="00280588"/>
    <w:rsid w:val="00280AD4"/>
    <w:rsid w:val="00281D1E"/>
    <w:rsid w:val="00281FB0"/>
    <w:rsid w:val="002824A9"/>
    <w:rsid w:val="002824C9"/>
    <w:rsid w:val="002830CA"/>
    <w:rsid w:val="00283623"/>
    <w:rsid w:val="00283BCA"/>
    <w:rsid w:val="00283E24"/>
    <w:rsid w:val="00284228"/>
    <w:rsid w:val="00284A5D"/>
    <w:rsid w:val="00284FBA"/>
    <w:rsid w:val="00285E26"/>
    <w:rsid w:val="002872B3"/>
    <w:rsid w:val="00287FDA"/>
    <w:rsid w:val="00291709"/>
    <w:rsid w:val="00293669"/>
    <w:rsid w:val="002943EB"/>
    <w:rsid w:val="00295034"/>
    <w:rsid w:val="00296FD4"/>
    <w:rsid w:val="002A1796"/>
    <w:rsid w:val="002A23EF"/>
    <w:rsid w:val="002A267C"/>
    <w:rsid w:val="002A2F0E"/>
    <w:rsid w:val="002A33DD"/>
    <w:rsid w:val="002A3A90"/>
    <w:rsid w:val="002A5417"/>
    <w:rsid w:val="002A614A"/>
    <w:rsid w:val="002A71BC"/>
    <w:rsid w:val="002A7387"/>
    <w:rsid w:val="002A761E"/>
    <w:rsid w:val="002B0010"/>
    <w:rsid w:val="002B0D13"/>
    <w:rsid w:val="002B11B5"/>
    <w:rsid w:val="002B17A4"/>
    <w:rsid w:val="002B2057"/>
    <w:rsid w:val="002B29AE"/>
    <w:rsid w:val="002B32AB"/>
    <w:rsid w:val="002B39BD"/>
    <w:rsid w:val="002B3CBA"/>
    <w:rsid w:val="002B46CE"/>
    <w:rsid w:val="002B4B68"/>
    <w:rsid w:val="002B522D"/>
    <w:rsid w:val="002B54D5"/>
    <w:rsid w:val="002B5D32"/>
    <w:rsid w:val="002B62CB"/>
    <w:rsid w:val="002B6C52"/>
    <w:rsid w:val="002B6E43"/>
    <w:rsid w:val="002B70DA"/>
    <w:rsid w:val="002B721A"/>
    <w:rsid w:val="002B7568"/>
    <w:rsid w:val="002B79E1"/>
    <w:rsid w:val="002C0227"/>
    <w:rsid w:val="002C03DA"/>
    <w:rsid w:val="002C06C0"/>
    <w:rsid w:val="002C186C"/>
    <w:rsid w:val="002C441C"/>
    <w:rsid w:val="002C636E"/>
    <w:rsid w:val="002C7567"/>
    <w:rsid w:val="002C772C"/>
    <w:rsid w:val="002D061E"/>
    <w:rsid w:val="002D0F5E"/>
    <w:rsid w:val="002D143F"/>
    <w:rsid w:val="002D251D"/>
    <w:rsid w:val="002D36E0"/>
    <w:rsid w:val="002D3CA5"/>
    <w:rsid w:val="002D59B8"/>
    <w:rsid w:val="002D682E"/>
    <w:rsid w:val="002D6AAE"/>
    <w:rsid w:val="002E0137"/>
    <w:rsid w:val="002E1059"/>
    <w:rsid w:val="002E106C"/>
    <w:rsid w:val="002E1840"/>
    <w:rsid w:val="002E1AEB"/>
    <w:rsid w:val="002E2AEB"/>
    <w:rsid w:val="002E2C53"/>
    <w:rsid w:val="002E2E90"/>
    <w:rsid w:val="002E3133"/>
    <w:rsid w:val="002E3172"/>
    <w:rsid w:val="002E31B3"/>
    <w:rsid w:val="002E3D93"/>
    <w:rsid w:val="002E4BDA"/>
    <w:rsid w:val="002E6CCB"/>
    <w:rsid w:val="002F0234"/>
    <w:rsid w:val="002F0A5B"/>
    <w:rsid w:val="002F1167"/>
    <w:rsid w:val="002F3714"/>
    <w:rsid w:val="002F4B44"/>
    <w:rsid w:val="002F5EE7"/>
    <w:rsid w:val="002F61C8"/>
    <w:rsid w:val="002F6839"/>
    <w:rsid w:val="002F7523"/>
    <w:rsid w:val="002F7FD2"/>
    <w:rsid w:val="003001F2"/>
    <w:rsid w:val="003005A1"/>
    <w:rsid w:val="003012FF"/>
    <w:rsid w:val="003025C1"/>
    <w:rsid w:val="003026A8"/>
    <w:rsid w:val="00305DA1"/>
    <w:rsid w:val="00305DB4"/>
    <w:rsid w:val="003065C3"/>
    <w:rsid w:val="00307580"/>
    <w:rsid w:val="003078BA"/>
    <w:rsid w:val="0031001D"/>
    <w:rsid w:val="003116BA"/>
    <w:rsid w:val="003117D5"/>
    <w:rsid w:val="0031197F"/>
    <w:rsid w:val="00311DC3"/>
    <w:rsid w:val="00312D3A"/>
    <w:rsid w:val="00312EDC"/>
    <w:rsid w:val="00314AA5"/>
    <w:rsid w:val="00316FCA"/>
    <w:rsid w:val="003178FA"/>
    <w:rsid w:val="00321211"/>
    <w:rsid w:val="003219EB"/>
    <w:rsid w:val="00322180"/>
    <w:rsid w:val="00323E9E"/>
    <w:rsid w:val="003243FD"/>
    <w:rsid w:val="00324EEE"/>
    <w:rsid w:val="003256BB"/>
    <w:rsid w:val="003266DD"/>
    <w:rsid w:val="00326830"/>
    <w:rsid w:val="00326BB6"/>
    <w:rsid w:val="0032727D"/>
    <w:rsid w:val="00327B25"/>
    <w:rsid w:val="00330537"/>
    <w:rsid w:val="0033081E"/>
    <w:rsid w:val="003312CA"/>
    <w:rsid w:val="00332531"/>
    <w:rsid w:val="00332D16"/>
    <w:rsid w:val="00332E73"/>
    <w:rsid w:val="0033424D"/>
    <w:rsid w:val="00334FB5"/>
    <w:rsid w:val="00335B1B"/>
    <w:rsid w:val="00335EA2"/>
    <w:rsid w:val="00337350"/>
    <w:rsid w:val="0034041F"/>
    <w:rsid w:val="00343CC6"/>
    <w:rsid w:val="00344172"/>
    <w:rsid w:val="0034449E"/>
    <w:rsid w:val="0034475A"/>
    <w:rsid w:val="00344F94"/>
    <w:rsid w:val="003455D7"/>
    <w:rsid w:val="00345AB4"/>
    <w:rsid w:val="00346585"/>
    <w:rsid w:val="00346B8C"/>
    <w:rsid w:val="00346CC8"/>
    <w:rsid w:val="003474AB"/>
    <w:rsid w:val="00351BA6"/>
    <w:rsid w:val="003531EA"/>
    <w:rsid w:val="0035353E"/>
    <w:rsid w:val="0035403B"/>
    <w:rsid w:val="00354A86"/>
    <w:rsid w:val="00355DA5"/>
    <w:rsid w:val="00357716"/>
    <w:rsid w:val="003606EA"/>
    <w:rsid w:val="003607F2"/>
    <w:rsid w:val="00361452"/>
    <w:rsid w:val="00361574"/>
    <w:rsid w:val="00362325"/>
    <w:rsid w:val="003624D9"/>
    <w:rsid w:val="00362BD8"/>
    <w:rsid w:val="00363643"/>
    <w:rsid w:val="00363AAE"/>
    <w:rsid w:val="00364AED"/>
    <w:rsid w:val="003650D6"/>
    <w:rsid w:val="00365179"/>
    <w:rsid w:val="00365368"/>
    <w:rsid w:val="00367212"/>
    <w:rsid w:val="003679C5"/>
    <w:rsid w:val="00367AAA"/>
    <w:rsid w:val="003706EA"/>
    <w:rsid w:val="00371436"/>
    <w:rsid w:val="003714CA"/>
    <w:rsid w:val="003728A0"/>
    <w:rsid w:val="00372904"/>
    <w:rsid w:val="0037327B"/>
    <w:rsid w:val="00373A69"/>
    <w:rsid w:val="00373AE3"/>
    <w:rsid w:val="003743B1"/>
    <w:rsid w:val="00376A38"/>
    <w:rsid w:val="00376C52"/>
    <w:rsid w:val="0037738F"/>
    <w:rsid w:val="0037770C"/>
    <w:rsid w:val="00377F60"/>
    <w:rsid w:val="00380D62"/>
    <w:rsid w:val="003816F8"/>
    <w:rsid w:val="003837D6"/>
    <w:rsid w:val="003855C5"/>
    <w:rsid w:val="003856DE"/>
    <w:rsid w:val="003873BE"/>
    <w:rsid w:val="00387FC6"/>
    <w:rsid w:val="00390F59"/>
    <w:rsid w:val="003910D4"/>
    <w:rsid w:val="00391161"/>
    <w:rsid w:val="00392569"/>
    <w:rsid w:val="00392CDC"/>
    <w:rsid w:val="003937E0"/>
    <w:rsid w:val="003943F6"/>
    <w:rsid w:val="00394882"/>
    <w:rsid w:val="00394B60"/>
    <w:rsid w:val="00395672"/>
    <w:rsid w:val="003958EB"/>
    <w:rsid w:val="003973A3"/>
    <w:rsid w:val="00397D34"/>
    <w:rsid w:val="00397F63"/>
    <w:rsid w:val="003A02A9"/>
    <w:rsid w:val="003A0679"/>
    <w:rsid w:val="003A07C2"/>
    <w:rsid w:val="003A0937"/>
    <w:rsid w:val="003A0F5F"/>
    <w:rsid w:val="003A15A2"/>
    <w:rsid w:val="003A1801"/>
    <w:rsid w:val="003A1876"/>
    <w:rsid w:val="003A1879"/>
    <w:rsid w:val="003A2712"/>
    <w:rsid w:val="003A3572"/>
    <w:rsid w:val="003A606C"/>
    <w:rsid w:val="003A61A9"/>
    <w:rsid w:val="003A6CC8"/>
    <w:rsid w:val="003A6F3B"/>
    <w:rsid w:val="003A708E"/>
    <w:rsid w:val="003A738E"/>
    <w:rsid w:val="003A7C86"/>
    <w:rsid w:val="003B0433"/>
    <w:rsid w:val="003B0A46"/>
    <w:rsid w:val="003B1475"/>
    <w:rsid w:val="003B2783"/>
    <w:rsid w:val="003B2A50"/>
    <w:rsid w:val="003B2B2C"/>
    <w:rsid w:val="003B34DB"/>
    <w:rsid w:val="003B3994"/>
    <w:rsid w:val="003B3D51"/>
    <w:rsid w:val="003B4067"/>
    <w:rsid w:val="003B426F"/>
    <w:rsid w:val="003B5482"/>
    <w:rsid w:val="003B59A4"/>
    <w:rsid w:val="003B697C"/>
    <w:rsid w:val="003C0068"/>
    <w:rsid w:val="003C2BD0"/>
    <w:rsid w:val="003C5ABE"/>
    <w:rsid w:val="003C60F9"/>
    <w:rsid w:val="003C678A"/>
    <w:rsid w:val="003C7820"/>
    <w:rsid w:val="003D0021"/>
    <w:rsid w:val="003D009B"/>
    <w:rsid w:val="003D26EF"/>
    <w:rsid w:val="003D30DE"/>
    <w:rsid w:val="003D3562"/>
    <w:rsid w:val="003D3840"/>
    <w:rsid w:val="003D3BA5"/>
    <w:rsid w:val="003D42B2"/>
    <w:rsid w:val="003D4683"/>
    <w:rsid w:val="003D55A9"/>
    <w:rsid w:val="003D5BB9"/>
    <w:rsid w:val="003D687C"/>
    <w:rsid w:val="003D69DD"/>
    <w:rsid w:val="003D7CC8"/>
    <w:rsid w:val="003E005F"/>
    <w:rsid w:val="003E0470"/>
    <w:rsid w:val="003E1AE1"/>
    <w:rsid w:val="003E2088"/>
    <w:rsid w:val="003E2959"/>
    <w:rsid w:val="003E3009"/>
    <w:rsid w:val="003E4D50"/>
    <w:rsid w:val="003E5BF4"/>
    <w:rsid w:val="003E6CA4"/>
    <w:rsid w:val="003E6ED7"/>
    <w:rsid w:val="003E7091"/>
    <w:rsid w:val="003E7101"/>
    <w:rsid w:val="003E73D8"/>
    <w:rsid w:val="003F0977"/>
    <w:rsid w:val="003F10BF"/>
    <w:rsid w:val="003F1AAC"/>
    <w:rsid w:val="003F2D04"/>
    <w:rsid w:val="003F37FC"/>
    <w:rsid w:val="003F3D50"/>
    <w:rsid w:val="003F42A2"/>
    <w:rsid w:val="003F4E46"/>
    <w:rsid w:val="003F52DF"/>
    <w:rsid w:val="003F7C89"/>
    <w:rsid w:val="00400554"/>
    <w:rsid w:val="00400842"/>
    <w:rsid w:val="0040158D"/>
    <w:rsid w:val="00401F48"/>
    <w:rsid w:val="0040235E"/>
    <w:rsid w:val="00403249"/>
    <w:rsid w:val="004037E2"/>
    <w:rsid w:val="004063BD"/>
    <w:rsid w:val="0040728A"/>
    <w:rsid w:val="00410284"/>
    <w:rsid w:val="00410494"/>
    <w:rsid w:val="004121F8"/>
    <w:rsid w:val="0041232C"/>
    <w:rsid w:val="0041459C"/>
    <w:rsid w:val="004150E0"/>
    <w:rsid w:val="00415B04"/>
    <w:rsid w:val="00416566"/>
    <w:rsid w:val="00416962"/>
    <w:rsid w:val="00416DCD"/>
    <w:rsid w:val="00416E85"/>
    <w:rsid w:val="004203FC"/>
    <w:rsid w:val="004210DF"/>
    <w:rsid w:val="0042125E"/>
    <w:rsid w:val="0042139F"/>
    <w:rsid w:val="00421AFD"/>
    <w:rsid w:val="00421E97"/>
    <w:rsid w:val="004230FD"/>
    <w:rsid w:val="0042383D"/>
    <w:rsid w:val="00424597"/>
    <w:rsid w:val="004250EF"/>
    <w:rsid w:val="00425847"/>
    <w:rsid w:val="00426699"/>
    <w:rsid w:val="00426A2D"/>
    <w:rsid w:val="00427CFB"/>
    <w:rsid w:val="0043065F"/>
    <w:rsid w:val="00430A1F"/>
    <w:rsid w:val="00430A48"/>
    <w:rsid w:val="00430C81"/>
    <w:rsid w:val="004312B8"/>
    <w:rsid w:val="00431623"/>
    <w:rsid w:val="00431EBC"/>
    <w:rsid w:val="004326C1"/>
    <w:rsid w:val="00432900"/>
    <w:rsid w:val="004337B3"/>
    <w:rsid w:val="0043491E"/>
    <w:rsid w:val="00435308"/>
    <w:rsid w:val="0043556D"/>
    <w:rsid w:val="004357E7"/>
    <w:rsid w:val="00435A52"/>
    <w:rsid w:val="00435A71"/>
    <w:rsid w:val="00435CE1"/>
    <w:rsid w:val="00436626"/>
    <w:rsid w:val="00436653"/>
    <w:rsid w:val="00436809"/>
    <w:rsid w:val="00437A78"/>
    <w:rsid w:val="00437BBB"/>
    <w:rsid w:val="00440344"/>
    <w:rsid w:val="00442C85"/>
    <w:rsid w:val="00444EEE"/>
    <w:rsid w:val="0044546A"/>
    <w:rsid w:val="00445868"/>
    <w:rsid w:val="00445CB8"/>
    <w:rsid w:val="00445D6B"/>
    <w:rsid w:val="00445F4D"/>
    <w:rsid w:val="00446105"/>
    <w:rsid w:val="00446EEA"/>
    <w:rsid w:val="00447903"/>
    <w:rsid w:val="00447B2B"/>
    <w:rsid w:val="00447F76"/>
    <w:rsid w:val="00450A3D"/>
    <w:rsid w:val="00451A25"/>
    <w:rsid w:val="00452C3B"/>
    <w:rsid w:val="00453860"/>
    <w:rsid w:val="0045387F"/>
    <w:rsid w:val="00453CEE"/>
    <w:rsid w:val="00453E47"/>
    <w:rsid w:val="00453ED1"/>
    <w:rsid w:val="00454766"/>
    <w:rsid w:val="00454E70"/>
    <w:rsid w:val="00454EF1"/>
    <w:rsid w:val="004554D4"/>
    <w:rsid w:val="00455686"/>
    <w:rsid w:val="004556C6"/>
    <w:rsid w:val="00455A96"/>
    <w:rsid w:val="00455BE2"/>
    <w:rsid w:val="00455E49"/>
    <w:rsid w:val="00456CE4"/>
    <w:rsid w:val="00457C4E"/>
    <w:rsid w:val="00460B88"/>
    <w:rsid w:val="00461EB6"/>
    <w:rsid w:val="004627A4"/>
    <w:rsid w:val="00462F96"/>
    <w:rsid w:val="00465AAF"/>
    <w:rsid w:val="00467257"/>
    <w:rsid w:val="004738CE"/>
    <w:rsid w:val="00473E4A"/>
    <w:rsid w:val="004754AE"/>
    <w:rsid w:val="0047636D"/>
    <w:rsid w:val="00476F24"/>
    <w:rsid w:val="004800E1"/>
    <w:rsid w:val="004804F4"/>
    <w:rsid w:val="0048090C"/>
    <w:rsid w:val="00482C5B"/>
    <w:rsid w:val="0048328F"/>
    <w:rsid w:val="00483CCC"/>
    <w:rsid w:val="00484205"/>
    <w:rsid w:val="00484830"/>
    <w:rsid w:val="00485457"/>
    <w:rsid w:val="00485F89"/>
    <w:rsid w:val="004868EA"/>
    <w:rsid w:val="00486A0C"/>
    <w:rsid w:val="00487C78"/>
    <w:rsid w:val="00487F14"/>
    <w:rsid w:val="00490557"/>
    <w:rsid w:val="0049094E"/>
    <w:rsid w:val="00492E5E"/>
    <w:rsid w:val="00493E29"/>
    <w:rsid w:val="00493F71"/>
    <w:rsid w:val="00494670"/>
    <w:rsid w:val="0049640C"/>
    <w:rsid w:val="00496892"/>
    <w:rsid w:val="0049692E"/>
    <w:rsid w:val="00496E45"/>
    <w:rsid w:val="00496ED7"/>
    <w:rsid w:val="0049771E"/>
    <w:rsid w:val="00497875"/>
    <w:rsid w:val="00497A24"/>
    <w:rsid w:val="004A05E9"/>
    <w:rsid w:val="004A0E28"/>
    <w:rsid w:val="004A1F8E"/>
    <w:rsid w:val="004A21D7"/>
    <w:rsid w:val="004A2D22"/>
    <w:rsid w:val="004A363D"/>
    <w:rsid w:val="004A6D08"/>
    <w:rsid w:val="004A700E"/>
    <w:rsid w:val="004B0D80"/>
    <w:rsid w:val="004B15EB"/>
    <w:rsid w:val="004B2977"/>
    <w:rsid w:val="004B5284"/>
    <w:rsid w:val="004B5FF8"/>
    <w:rsid w:val="004B7788"/>
    <w:rsid w:val="004B7B69"/>
    <w:rsid w:val="004B7E8F"/>
    <w:rsid w:val="004C045B"/>
    <w:rsid w:val="004C0B7F"/>
    <w:rsid w:val="004C119D"/>
    <w:rsid w:val="004C1990"/>
    <w:rsid w:val="004C1EC5"/>
    <w:rsid w:val="004C2877"/>
    <w:rsid w:val="004C28E2"/>
    <w:rsid w:val="004C3470"/>
    <w:rsid w:val="004C3CB7"/>
    <w:rsid w:val="004C4134"/>
    <w:rsid w:val="004C4885"/>
    <w:rsid w:val="004C518A"/>
    <w:rsid w:val="004C6035"/>
    <w:rsid w:val="004C6B0D"/>
    <w:rsid w:val="004C6E32"/>
    <w:rsid w:val="004C783B"/>
    <w:rsid w:val="004D05FC"/>
    <w:rsid w:val="004D14EC"/>
    <w:rsid w:val="004D1A9F"/>
    <w:rsid w:val="004D5F74"/>
    <w:rsid w:val="004D6354"/>
    <w:rsid w:val="004D6AA3"/>
    <w:rsid w:val="004E0024"/>
    <w:rsid w:val="004E00BB"/>
    <w:rsid w:val="004E0548"/>
    <w:rsid w:val="004E0DDD"/>
    <w:rsid w:val="004E512E"/>
    <w:rsid w:val="004E7690"/>
    <w:rsid w:val="004E7F9D"/>
    <w:rsid w:val="004F1B2B"/>
    <w:rsid w:val="004F2AD7"/>
    <w:rsid w:val="004F33BD"/>
    <w:rsid w:val="004F487D"/>
    <w:rsid w:val="004F50B7"/>
    <w:rsid w:val="004F573D"/>
    <w:rsid w:val="004F5FBA"/>
    <w:rsid w:val="004F622A"/>
    <w:rsid w:val="004F62A0"/>
    <w:rsid w:val="004F657A"/>
    <w:rsid w:val="004F67E4"/>
    <w:rsid w:val="004F6A3C"/>
    <w:rsid w:val="00500AD7"/>
    <w:rsid w:val="00500E26"/>
    <w:rsid w:val="0050133E"/>
    <w:rsid w:val="00501603"/>
    <w:rsid w:val="00502592"/>
    <w:rsid w:val="005041F1"/>
    <w:rsid w:val="005043B9"/>
    <w:rsid w:val="005044D0"/>
    <w:rsid w:val="005046B8"/>
    <w:rsid w:val="005062B2"/>
    <w:rsid w:val="00506C1E"/>
    <w:rsid w:val="00507536"/>
    <w:rsid w:val="005075F9"/>
    <w:rsid w:val="00510740"/>
    <w:rsid w:val="0051130D"/>
    <w:rsid w:val="00511C5B"/>
    <w:rsid w:val="00513C82"/>
    <w:rsid w:val="00514721"/>
    <w:rsid w:val="0051499E"/>
    <w:rsid w:val="00514B03"/>
    <w:rsid w:val="005161D7"/>
    <w:rsid w:val="005172A0"/>
    <w:rsid w:val="00520CB5"/>
    <w:rsid w:val="005211B0"/>
    <w:rsid w:val="00521B4F"/>
    <w:rsid w:val="005232F4"/>
    <w:rsid w:val="0052332B"/>
    <w:rsid w:val="00525275"/>
    <w:rsid w:val="00525D9B"/>
    <w:rsid w:val="005265BF"/>
    <w:rsid w:val="00526760"/>
    <w:rsid w:val="00526F7C"/>
    <w:rsid w:val="00526F8C"/>
    <w:rsid w:val="00527DB7"/>
    <w:rsid w:val="00530042"/>
    <w:rsid w:val="005328E9"/>
    <w:rsid w:val="00533E44"/>
    <w:rsid w:val="00533FBF"/>
    <w:rsid w:val="00534038"/>
    <w:rsid w:val="00534527"/>
    <w:rsid w:val="00534683"/>
    <w:rsid w:val="00534733"/>
    <w:rsid w:val="00535456"/>
    <w:rsid w:val="00535769"/>
    <w:rsid w:val="005357A6"/>
    <w:rsid w:val="00536669"/>
    <w:rsid w:val="00540DCA"/>
    <w:rsid w:val="00541C26"/>
    <w:rsid w:val="00543241"/>
    <w:rsid w:val="00543CDE"/>
    <w:rsid w:val="005440AB"/>
    <w:rsid w:val="005448A2"/>
    <w:rsid w:val="005449CB"/>
    <w:rsid w:val="00544ACE"/>
    <w:rsid w:val="0054582A"/>
    <w:rsid w:val="00546874"/>
    <w:rsid w:val="00547DE3"/>
    <w:rsid w:val="00550977"/>
    <w:rsid w:val="0055294D"/>
    <w:rsid w:val="00552C76"/>
    <w:rsid w:val="00552D23"/>
    <w:rsid w:val="005530BF"/>
    <w:rsid w:val="005534C0"/>
    <w:rsid w:val="0055444C"/>
    <w:rsid w:val="0055738F"/>
    <w:rsid w:val="00557AD8"/>
    <w:rsid w:val="00560096"/>
    <w:rsid w:val="00560735"/>
    <w:rsid w:val="00560C8A"/>
    <w:rsid w:val="00560D59"/>
    <w:rsid w:val="00560F4E"/>
    <w:rsid w:val="00561A80"/>
    <w:rsid w:val="00562348"/>
    <w:rsid w:val="005629D1"/>
    <w:rsid w:val="00563887"/>
    <w:rsid w:val="00564383"/>
    <w:rsid w:val="00565B98"/>
    <w:rsid w:val="00565D7F"/>
    <w:rsid w:val="005669E4"/>
    <w:rsid w:val="005672D9"/>
    <w:rsid w:val="005674C7"/>
    <w:rsid w:val="005676BF"/>
    <w:rsid w:val="00571BC3"/>
    <w:rsid w:val="00572B31"/>
    <w:rsid w:val="00573529"/>
    <w:rsid w:val="005745B8"/>
    <w:rsid w:val="00574C24"/>
    <w:rsid w:val="00575D5F"/>
    <w:rsid w:val="005762AD"/>
    <w:rsid w:val="00576A36"/>
    <w:rsid w:val="00577324"/>
    <w:rsid w:val="00577FCE"/>
    <w:rsid w:val="00581069"/>
    <w:rsid w:val="00581510"/>
    <w:rsid w:val="005815D6"/>
    <w:rsid w:val="005818A3"/>
    <w:rsid w:val="00581CC3"/>
    <w:rsid w:val="005824D6"/>
    <w:rsid w:val="0058265F"/>
    <w:rsid w:val="00582EC2"/>
    <w:rsid w:val="00583175"/>
    <w:rsid w:val="0058454A"/>
    <w:rsid w:val="0058548F"/>
    <w:rsid w:val="00590A0A"/>
    <w:rsid w:val="00592497"/>
    <w:rsid w:val="005924C0"/>
    <w:rsid w:val="005929B8"/>
    <w:rsid w:val="00592AD6"/>
    <w:rsid w:val="00593443"/>
    <w:rsid w:val="00594C68"/>
    <w:rsid w:val="005952DA"/>
    <w:rsid w:val="00595CFB"/>
    <w:rsid w:val="00596B33"/>
    <w:rsid w:val="005A0379"/>
    <w:rsid w:val="005A066C"/>
    <w:rsid w:val="005A155A"/>
    <w:rsid w:val="005A1E11"/>
    <w:rsid w:val="005A3528"/>
    <w:rsid w:val="005A4358"/>
    <w:rsid w:val="005A4E22"/>
    <w:rsid w:val="005A5115"/>
    <w:rsid w:val="005A6E61"/>
    <w:rsid w:val="005A73B9"/>
    <w:rsid w:val="005A76F6"/>
    <w:rsid w:val="005A7E44"/>
    <w:rsid w:val="005B08A1"/>
    <w:rsid w:val="005B15F7"/>
    <w:rsid w:val="005B1846"/>
    <w:rsid w:val="005B200C"/>
    <w:rsid w:val="005B2113"/>
    <w:rsid w:val="005B344F"/>
    <w:rsid w:val="005B35A0"/>
    <w:rsid w:val="005B35D9"/>
    <w:rsid w:val="005B3A5C"/>
    <w:rsid w:val="005B409C"/>
    <w:rsid w:val="005B4DAD"/>
    <w:rsid w:val="005B5BC1"/>
    <w:rsid w:val="005B6185"/>
    <w:rsid w:val="005B6283"/>
    <w:rsid w:val="005B6881"/>
    <w:rsid w:val="005B7B96"/>
    <w:rsid w:val="005C085B"/>
    <w:rsid w:val="005C235C"/>
    <w:rsid w:val="005C2427"/>
    <w:rsid w:val="005C45FD"/>
    <w:rsid w:val="005C4F27"/>
    <w:rsid w:val="005C593A"/>
    <w:rsid w:val="005C61AA"/>
    <w:rsid w:val="005C666C"/>
    <w:rsid w:val="005C6BEA"/>
    <w:rsid w:val="005C6DE6"/>
    <w:rsid w:val="005C6F92"/>
    <w:rsid w:val="005C74B7"/>
    <w:rsid w:val="005C7D00"/>
    <w:rsid w:val="005C7D15"/>
    <w:rsid w:val="005C7E3F"/>
    <w:rsid w:val="005D082A"/>
    <w:rsid w:val="005D30B3"/>
    <w:rsid w:val="005D3A93"/>
    <w:rsid w:val="005D3AEC"/>
    <w:rsid w:val="005D3EDF"/>
    <w:rsid w:val="005D496A"/>
    <w:rsid w:val="005D5351"/>
    <w:rsid w:val="005D56C1"/>
    <w:rsid w:val="005D5A18"/>
    <w:rsid w:val="005D5F78"/>
    <w:rsid w:val="005D6527"/>
    <w:rsid w:val="005D6CEA"/>
    <w:rsid w:val="005D7CBD"/>
    <w:rsid w:val="005E0166"/>
    <w:rsid w:val="005E1429"/>
    <w:rsid w:val="005E143B"/>
    <w:rsid w:val="005E1B89"/>
    <w:rsid w:val="005E247F"/>
    <w:rsid w:val="005E25F1"/>
    <w:rsid w:val="005E2681"/>
    <w:rsid w:val="005E2751"/>
    <w:rsid w:val="005E319C"/>
    <w:rsid w:val="005E4541"/>
    <w:rsid w:val="005E46DC"/>
    <w:rsid w:val="005E4C38"/>
    <w:rsid w:val="005E4E11"/>
    <w:rsid w:val="005E5061"/>
    <w:rsid w:val="005E5E8D"/>
    <w:rsid w:val="005E7A3E"/>
    <w:rsid w:val="005E7F57"/>
    <w:rsid w:val="005F01C9"/>
    <w:rsid w:val="005F0DB3"/>
    <w:rsid w:val="005F1E33"/>
    <w:rsid w:val="005F24E3"/>
    <w:rsid w:val="005F48D6"/>
    <w:rsid w:val="005F4BD1"/>
    <w:rsid w:val="005F5476"/>
    <w:rsid w:val="005F6314"/>
    <w:rsid w:val="005F6F11"/>
    <w:rsid w:val="00601A7A"/>
    <w:rsid w:val="00601D99"/>
    <w:rsid w:val="0060253D"/>
    <w:rsid w:val="00603C22"/>
    <w:rsid w:val="00604001"/>
    <w:rsid w:val="00605684"/>
    <w:rsid w:val="006072AF"/>
    <w:rsid w:val="0061074F"/>
    <w:rsid w:val="006107EB"/>
    <w:rsid w:val="0061081B"/>
    <w:rsid w:val="0061173B"/>
    <w:rsid w:val="0061242F"/>
    <w:rsid w:val="00612FD5"/>
    <w:rsid w:val="00613578"/>
    <w:rsid w:val="00613ED1"/>
    <w:rsid w:val="0061455B"/>
    <w:rsid w:val="00614B88"/>
    <w:rsid w:val="00614BDF"/>
    <w:rsid w:val="006152D8"/>
    <w:rsid w:val="00615874"/>
    <w:rsid w:val="006174BF"/>
    <w:rsid w:val="00620400"/>
    <w:rsid w:val="00620705"/>
    <w:rsid w:val="00621506"/>
    <w:rsid w:val="006215C4"/>
    <w:rsid w:val="00621B27"/>
    <w:rsid w:val="00621BCE"/>
    <w:rsid w:val="00622073"/>
    <w:rsid w:val="00622422"/>
    <w:rsid w:val="006228C7"/>
    <w:rsid w:val="006228FD"/>
    <w:rsid w:val="00625559"/>
    <w:rsid w:val="00625688"/>
    <w:rsid w:val="00625FA5"/>
    <w:rsid w:val="00626191"/>
    <w:rsid w:val="0062762A"/>
    <w:rsid w:val="00630BD7"/>
    <w:rsid w:val="00631083"/>
    <w:rsid w:val="00631992"/>
    <w:rsid w:val="00631CA5"/>
    <w:rsid w:val="0063283B"/>
    <w:rsid w:val="006329D1"/>
    <w:rsid w:val="00632E8B"/>
    <w:rsid w:val="0063383F"/>
    <w:rsid w:val="00634E3C"/>
    <w:rsid w:val="00635142"/>
    <w:rsid w:val="006359E0"/>
    <w:rsid w:val="00637F28"/>
    <w:rsid w:val="00641D0A"/>
    <w:rsid w:val="0064216A"/>
    <w:rsid w:val="00642429"/>
    <w:rsid w:val="00645817"/>
    <w:rsid w:val="00647170"/>
    <w:rsid w:val="00647616"/>
    <w:rsid w:val="006504A6"/>
    <w:rsid w:val="006509B5"/>
    <w:rsid w:val="00650A96"/>
    <w:rsid w:val="0065144F"/>
    <w:rsid w:val="0065226C"/>
    <w:rsid w:val="0065261B"/>
    <w:rsid w:val="00653B15"/>
    <w:rsid w:val="00653F0F"/>
    <w:rsid w:val="00654075"/>
    <w:rsid w:val="00654154"/>
    <w:rsid w:val="00654B46"/>
    <w:rsid w:val="00654BD5"/>
    <w:rsid w:val="0065599F"/>
    <w:rsid w:val="00656EC3"/>
    <w:rsid w:val="0066025B"/>
    <w:rsid w:val="0066065B"/>
    <w:rsid w:val="00661E64"/>
    <w:rsid w:val="00661E73"/>
    <w:rsid w:val="0066242A"/>
    <w:rsid w:val="006632D3"/>
    <w:rsid w:val="00663B4A"/>
    <w:rsid w:val="006643E5"/>
    <w:rsid w:val="00665079"/>
    <w:rsid w:val="00665A25"/>
    <w:rsid w:val="00666DCA"/>
    <w:rsid w:val="006670FE"/>
    <w:rsid w:val="0066762F"/>
    <w:rsid w:val="00667F67"/>
    <w:rsid w:val="0067120A"/>
    <w:rsid w:val="00671342"/>
    <w:rsid w:val="0067154B"/>
    <w:rsid w:val="00671564"/>
    <w:rsid w:val="0067214F"/>
    <w:rsid w:val="0067252B"/>
    <w:rsid w:val="0067354F"/>
    <w:rsid w:val="0067374C"/>
    <w:rsid w:val="00674053"/>
    <w:rsid w:val="006745F2"/>
    <w:rsid w:val="006746A6"/>
    <w:rsid w:val="00675AEB"/>
    <w:rsid w:val="00676013"/>
    <w:rsid w:val="0067658C"/>
    <w:rsid w:val="00676C6F"/>
    <w:rsid w:val="00676CF7"/>
    <w:rsid w:val="00677112"/>
    <w:rsid w:val="00677C4B"/>
    <w:rsid w:val="00677CDF"/>
    <w:rsid w:val="00680447"/>
    <w:rsid w:val="006807DB"/>
    <w:rsid w:val="0068222B"/>
    <w:rsid w:val="00682587"/>
    <w:rsid w:val="00683520"/>
    <w:rsid w:val="0068402C"/>
    <w:rsid w:val="00685F44"/>
    <w:rsid w:val="0068690C"/>
    <w:rsid w:val="00686B0E"/>
    <w:rsid w:val="00686FC1"/>
    <w:rsid w:val="00687EDC"/>
    <w:rsid w:val="00691128"/>
    <w:rsid w:val="00692698"/>
    <w:rsid w:val="00692DC9"/>
    <w:rsid w:val="00693C62"/>
    <w:rsid w:val="00693C7B"/>
    <w:rsid w:val="00696173"/>
    <w:rsid w:val="0069683B"/>
    <w:rsid w:val="0069778B"/>
    <w:rsid w:val="006A2585"/>
    <w:rsid w:val="006A2844"/>
    <w:rsid w:val="006A33D3"/>
    <w:rsid w:val="006A3942"/>
    <w:rsid w:val="006A3ED4"/>
    <w:rsid w:val="006A482E"/>
    <w:rsid w:val="006A6174"/>
    <w:rsid w:val="006A636F"/>
    <w:rsid w:val="006A7BA0"/>
    <w:rsid w:val="006B053F"/>
    <w:rsid w:val="006B13A4"/>
    <w:rsid w:val="006B1E76"/>
    <w:rsid w:val="006B3512"/>
    <w:rsid w:val="006B396A"/>
    <w:rsid w:val="006B3F2F"/>
    <w:rsid w:val="006B68DF"/>
    <w:rsid w:val="006B68EF"/>
    <w:rsid w:val="006B7327"/>
    <w:rsid w:val="006B7BA1"/>
    <w:rsid w:val="006B7F9A"/>
    <w:rsid w:val="006C1009"/>
    <w:rsid w:val="006C2AA0"/>
    <w:rsid w:val="006C427D"/>
    <w:rsid w:val="006C5449"/>
    <w:rsid w:val="006C7A73"/>
    <w:rsid w:val="006C7D4F"/>
    <w:rsid w:val="006D0679"/>
    <w:rsid w:val="006D0C04"/>
    <w:rsid w:val="006D1C43"/>
    <w:rsid w:val="006D3D25"/>
    <w:rsid w:val="006D469A"/>
    <w:rsid w:val="006D54D3"/>
    <w:rsid w:val="006D690E"/>
    <w:rsid w:val="006E0D28"/>
    <w:rsid w:val="006E1AFE"/>
    <w:rsid w:val="006E2527"/>
    <w:rsid w:val="006E31E7"/>
    <w:rsid w:val="006E3B4F"/>
    <w:rsid w:val="006E406B"/>
    <w:rsid w:val="006E52D5"/>
    <w:rsid w:val="006E53B8"/>
    <w:rsid w:val="006E56C8"/>
    <w:rsid w:val="006E5A47"/>
    <w:rsid w:val="006E6457"/>
    <w:rsid w:val="006E657B"/>
    <w:rsid w:val="006E7535"/>
    <w:rsid w:val="006E7968"/>
    <w:rsid w:val="006F0D7D"/>
    <w:rsid w:val="006F17A2"/>
    <w:rsid w:val="006F1F29"/>
    <w:rsid w:val="006F3A21"/>
    <w:rsid w:val="006F3A92"/>
    <w:rsid w:val="006F42B7"/>
    <w:rsid w:val="006F48DD"/>
    <w:rsid w:val="006F4E29"/>
    <w:rsid w:val="006F5BE9"/>
    <w:rsid w:val="006F5F46"/>
    <w:rsid w:val="006F6423"/>
    <w:rsid w:val="006F6E21"/>
    <w:rsid w:val="006F6E45"/>
    <w:rsid w:val="006F701B"/>
    <w:rsid w:val="00700E6E"/>
    <w:rsid w:val="00700ECB"/>
    <w:rsid w:val="007019C9"/>
    <w:rsid w:val="00702998"/>
    <w:rsid w:val="00705044"/>
    <w:rsid w:val="00705045"/>
    <w:rsid w:val="007053E6"/>
    <w:rsid w:val="0070599A"/>
    <w:rsid w:val="00705C47"/>
    <w:rsid w:val="00705EEC"/>
    <w:rsid w:val="00705F6F"/>
    <w:rsid w:val="007067BD"/>
    <w:rsid w:val="00706850"/>
    <w:rsid w:val="00706941"/>
    <w:rsid w:val="00710797"/>
    <w:rsid w:val="00710F1A"/>
    <w:rsid w:val="00711BD2"/>
    <w:rsid w:val="00711D5B"/>
    <w:rsid w:val="00713C60"/>
    <w:rsid w:val="00715B61"/>
    <w:rsid w:val="0071645A"/>
    <w:rsid w:val="00716594"/>
    <w:rsid w:val="007174D1"/>
    <w:rsid w:val="00717A35"/>
    <w:rsid w:val="00721D6D"/>
    <w:rsid w:val="00722B1C"/>
    <w:rsid w:val="007246AF"/>
    <w:rsid w:val="007253BC"/>
    <w:rsid w:val="007253D2"/>
    <w:rsid w:val="0072637F"/>
    <w:rsid w:val="00726B5C"/>
    <w:rsid w:val="0072762C"/>
    <w:rsid w:val="00727D4C"/>
    <w:rsid w:val="00730214"/>
    <w:rsid w:val="00730B81"/>
    <w:rsid w:val="00730BE1"/>
    <w:rsid w:val="00732F0F"/>
    <w:rsid w:val="00733EDC"/>
    <w:rsid w:val="00734AD2"/>
    <w:rsid w:val="00735000"/>
    <w:rsid w:val="00735190"/>
    <w:rsid w:val="00735199"/>
    <w:rsid w:val="00735EE4"/>
    <w:rsid w:val="00736793"/>
    <w:rsid w:val="00736951"/>
    <w:rsid w:val="007377A1"/>
    <w:rsid w:val="00741304"/>
    <w:rsid w:val="00742600"/>
    <w:rsid w:val="00742892"/>
    <w:rsid w:val="00743B10"/>
    <w:rsid w:val="00744FB7"/>
    <w:rsid w:val="0074577C"/>
    <w:rsid w:val="007457DE"/>
    <w:rsid w:val="00745A2C"/>
    <w:rsid w:val="00745B88"/>
    <w:rsid w:val="00747D97"/>
    <w:rsid w:val="00747E17"/>
    <w:rsid w:val="00750B42"/>
    <w:rsid w:val="00750E8D"/>
    <w:rsid w:val="00751525"/>
    <w:rsid w:val="00751896"/>
    <w:rsid w:val="00753A6A"/>
    <w:rsid w:val="00753CCD"/>
    <w:rsid w:val="0075462A"/>
    <w:rsid w:val="00754E33"/>
    <w:rsid w:val="007567F3"/>
    <w:rsid w:val="007569D8"/>
    <w:rsid w:val="0075778D"/>
    <w:rsid w:val="0075793C"/>
    <w:rsid w:val="00757FF3"/>
    <w:rsid w:val="00760E98"/>
    <w:rsid w:val="00760F73"/>
    <w:rsid w:val="00762021"/>
    <w:rsid w:val="00762580"/>
    <w:rsid w:val="0076328C"/>
    <w:rsid w:val="0076370A"/>
    <w:rsid w:val="00763E79"/>
    <w:rsid w:val="00765E35"/>
    <w:rsid w:val="00766EAF"/>
    <w:rsid w:val="00767632"/>
    <w:rsid w:val="00767A53"/>
    <w:rsid w:val="00770813"/>
    <w:rsid w:val="00770C14"/>
    <w:rsid w:val="00773D8D"/>
    <w:rsid w:val="007743CD"/>
    <w:rsid w:val="007745D1"/>
    <w:rsid w:val="00774A2E"/>
    <w:rsid w:val="00775A29"/>
    <w:rsid w:val="00776BCA"/>
    <w:rsid w:val="00776D5B"/>
    <w:rsid w:val="00776ECA"/>
    <w:rsid w:val="00777317"/>
    <w:rsid w:val="00777558"/>
    <w:rsid w:val="00777D97"/>
    <w:rsid w:val="007812FE"/>
    <w:rsid w:val="00781779"/>
    <w:rsid w:val="00782113"/>
    <w:rsid w:val="00782580"/>
    <w:rsid w:val="00783704"/>
    <w:rsid w:val="00783C64"/>
    <w:rsid w:val="0078449A"/>
    <w:rsid w:val="00784FD2"/>
    <w:rsid w:val="00786DB4"/>
    <w:rsid w:val="007875A6"/>
    <w:rsid w:val="00787782"/>
    <w:rsid w:val="00792493"/>
    <w:rsid w:val="007936AB"/>
    <w:rsid w:val="007948D4"/>
    <w:rsid w:val="00795DBD"/>
    <w:rsid w:val="00796251"/>
    <w:rsid w:val="007963EC"/>
    <w:rsid w:val="00796AA8"/>
    <w:rsid w:val="007973D3"/>
    <w:rsid w:val="007A0820"/>
    <w:rsid w:val="007A13E6"/>
    <w:rsid w:val="007A20C2"/>
    <w:rsid w:val="007A249F"/>
    <w:rsid w:val="007A3C8E"/>
    <w:rsid w:val="007A4545"/>
    <w:rsid w:val="007A5AF6"/>
    <w:rsid w:val="007A5B5D"/>
    <w:rsid w:val="007A68CF"/>
    <w:rsid w:val="007A77F7"/>
    <w:rsid w:val="007A7970"/>
    <w:rsid w:val="007A7C03"/>
    <w:rsid w:val="007A7FAA"/>
    <w:rsid w:val="007B19E6"/>
    <w:rsid w:val="007B1C36"/>
    <w:rsid w:val="007B20CF"/>
    <w:rsid w:val="007B2789"/>
    <w:rsid w:val="007B2D8C"/>
    <w:rsid w:val="007B33DB"/>
    <w:rsid w:val="007B34D0"/>
    <w:rsid w:val="007B38B6"/>
    <w:rsid w:val="007B3E5D"/>
    <w:rsid w:val="007B4299"/>
    <w:rsid w:val="007B434C"/>
    <w:rsid w:val="007B55F7"/>
    <w:rsid w:val="007B6862"/>
    <w:rsid w:val="007B6998"/>
    <w:rsid w:val="007B6D8A"/>
    <w:rsid w:val="007B7288"/>
    <w:rsid w:val="007B776B"/>
    <w:rsid w:val="007B7C07"/>
    <w:rsid w:val="007B7E2E"/>
    <w:rsid w:val="007C067C"/>
    <w:rsid w:val="007C10CB"/>
    <w:rsid w:val="007C116C"/>
    <w:rsid w:val="007C12C6"/>
    <w:rsid w:val="007C2A42"/>
    <w:rsid w:val="007C30CF"/>
    <w:rsid w:val="007C33C5"/>
    <w:rsid w:val="007C4564"/>
    <w:rsid w:val="007C4DC8"/>
    <w:rsid w:val="007C5F2F"/>
    <w:rsid w:val="007C758F"/>
    <w:rsid w:val="007C7B34"/>
    <w:rsid w:val="007D005C"/>
    <w:rsid w:val="007D1721"/>
    <w:rsid w:val="007D25AD"/>
    <w:rsid w:val="007D2C18"/>
    <w:rsid w:val="007D2E9A"/>
    <w:rsid w:val="007D3208"/>
    <w:rsid w:val="007D3730"/>
    <w:rsid w:val="007D4259"/>
    <w:rsid w:val="007D42E5"/>
    <w:rsid w:val="007D4779"/>
    <w:rsid w:val="007D5E24"/>
    <w:rsid w:val="007D65FA"/>
    <w:rsid w:val="007D6671"/>
    <w:rsid w:val="007D6CEA"/>
    <w:rsid w:val="007E0253"/>
    <w:rsid w:val="007E0822"/>
    <w:rsid w:val="007E15B9"/>
    <w:rsid w:val="007E2175"/>
    <w:rsid w:val="007E220B"/>
    <w:rsid w:val="007E2741"/>
    <w:rsid w:val="007E3B9F"/>
    <w:rsid w:val="007E3CCB"/>
    <w:rsid w:val="007E4838"/>
    <w:rsid w:val="007E4CC3"/>
    <w:rsid w:val="007E4D17"/>
    <w:rsid w:val="007E6798"/>
    <w:rsid w:val="007E6CFF"/>
    <w:rsid w:val="007E7D61"/>
    <w:rsid w:val="007F05E1"/>
    <w:rsid w:val="007F1174"/>
    <w:rsid w:val="007F1420"/>
    <w:rsid w:val="007F178F"/>
    <w:rsid w:val="007F189D"/>
    <w:rsid w:val="007F1944"/>
    <w:rsid w:val="007F1DE5"/>
    <w:rsid w:val="007F288A"/>
    <w:rsid w:val="007F2CFB"/>
    <w:rsid w:val="007F2EFF"/>
    <w:rsid w:val="007F62B6"/>
    <w:rsid w:val="007F733F"/>
    <w:rsid w:val="00800460"/>
    <w:rsid w:val="00801476"/>
    <w:rsid w:val="0080179A"/>
    <w:rsid w:val="00801C0A"/>
    <w:rsid w:val="00801C75"/>
    <w:rsid w:val="008028BA"/>
    <w:rsid w:val="00802D5C"/>
    <w:rsid w:val="008035D9"/>
    <w:rsid w:val="008055F3"/>
    <w:rsid w:val="00805DB8"/>
    <w:rsid w:val="0080650D"/>
    <w:rsid w:val="008076E9"/>
    <w:rsid w:val="00807FF8"/>
    <w:rsid w:val="00810C86"/>
    <w:rsid w:val="008118D4"/>
    <w:rsid w:val="008123CB"/>
    <w:rsid w:val="00813FD2"/>
    <w:rsid w:val="00814031"/>
    <w:rsid w:val="00814C32"/>
    <w:rsid w:val="008163EB"/>
    <w:rsid w:val="00816D11"/>
    <w:rsid w:val="00820591"/>
    <w:rsid w:val="008224D2"/>
    <w:rsid w:val="00823907"/>
    <w:rsid w:val="00823C27"/>
    <w:rsid w:val="00824A1D"/>
    <w:rsid w:val="008250B3"/>
    <w:rsid w:val="008251EE"/>
    <w:rsid w:val="00825450"/>
    <w:rsid w:val="00826267"/>
    <w:rsid w:val="008272F5"/>
    <w:rsid w:val="00827E3B"/>
    <w:rsid w:val="00830055"/>
    <w:rsid w:val="0083030B"/>
    <w:rsid w:val="00830327"/>
    <w:rsid w:val="00831288"/>
    <w:rsid w:val="00831C8C"/>
    <w:rsid w:val="00832BEC"/>
    <w:rsid w:val="00833E58"/>
    <w:rsid w:val="00834780"/>
    <w:rsid w:val="0083536B"/>
    <w:rsid w:val="00835E75"/>
    <w:rsid w:val="0083622C"/>
    <w:rsid w:val="00837012"/>
    <w:rsid w:val="0083777A"/>
    <w:rsid w:val="008407DB"/>
    <w:rsid w:val="00841221"/>
    <w:rsid w:val="00843566"/>
    <w:rsid w:val="0084530A"/>
    <w:rsid w:val="00846809"/>
    <w:rsid w:val="00846A39"/>
    <w:rsid w:val="00846D48"/>
    <w:rsid w:val="0084709E"/>
    <w:rsid w:val="00847120"/>
    <w:rsid w:val="00847AA0"/>
    <w:rsid w:val="008501D5"/>
    <w:rsid w:val="0085058C"/>
    <w:rsid w:val="008508E8"/>
    <w:rsid w:val="008509F0"/>
    <w:rsid w:val="008512EB"/>
    <w:rsid w:val="00851730"/>
    <w:rsid w:val="00853592"/>
    <w:rsid w:val="008539C5"/>
    <w:rsid w:val="00854CD9"/>
    <w:rsid w:val="00855974"/>
    <w:rsid w:val="00857752"/>
    <w:rsid w:val="0086028B"/>
    <w:rsid w:val="00860CFF"/>
    <w:rsid w:val="008614DA"/>
    <w:rsid w:val="00861B5F"/>
    <w:rsid w:val="0086215C"/>
    <w:rsid w:val="008622EB"/>
    <w:rsid w:val="00862E97"/>
    <w:rsid w:val="00863EED"/>
    <w:rsid w:val="00864B1C"/>
    <w:rsid w:val="00865374"/>
    <w:rsid w:val="00865C8B"/>
    <w:rsid w:val="00870786"/>
    <w:rsid w:val="0087083E"/>
    <w:rsid w:val="00871327"/>
    <w:rsid w:val="008719E4"/>
    <w:rsid w:val="00873FBD"/>
    <w:rsid w:val="008740B2"/>
    <w:rsid w:val="008742A6"/>
    <w:rsid w:val="008746B1"/>
    <w:rsid w:val="00875474"/>
    <w:rsid w:val="008762BF"/>
    <w:rsid w:val="0087689C"/>
    <w:rsid w:val="00876DA9"/>
    <w:rsid w:val="008776D3"/>
    <w:rsid w:val="0087776F"/>
    <w:rsid w:val="00877A87"/>
    <w:rsid w:val="00880216"/>
    <w:rsid w:val="00880254"/>
    <w:rsid w:val="0088335B"/>
    <w:rsid w:val="00883520"/>
    <w:rsid w:val="00884559"/>
    <w:rsid w:val="008848D0"/>
    <w:rsid w:val="00885191"/>
    <w:rsid w:val="00885B25"/>
    <w:rsid w:val="00885F3B"/>
    <w:rsid w:val="00886A8C"/>
    <w:rsid w:val="00890A86"/>
    <w:rsid w:val="00891913"/>
    <w:rsid w:val="00891D3D"/>
    <w:rsid w:val="00892406"/>
    <w:rsid w:val="00892EBD"/>
    <w:rsid w:val="00893373"/>
    <w:rsid w:val="008934A9"/>
    <w:rsid w:val="00894267"/>
    <w:rsid w:val="00894B0F"/>
    <w:rsid w:val="00894B94"/>
    <w:rsid w:val="00895555"/>
    <w:rsid w:val="008958A2"/>
    <w:rsid w:val="0089623B"/>
    <w:rsid w:val="00897829"/>
    <w:rsid w:val="008978E8"/>
    <w:rsid w:val="008A0BAC"/>
    <w:rsid w:val="008A0D44"/>
    <w:rsid w:val="008A1032"/>
    <w:rsid w:val="008A1185"/>
    <w:rsid w:val="008A2270"/>
    <w:rsid w:val="008A2557"/>
    <w:rsid w:val="008A2578"/>
    <w:rsid w:val="008A5209"/>
    <w:rsid w:val="008A5728"/>
    <w:rsid w:val="008A6180"/>
    <w:rsid w:val="008A6E23"/>
    <w:rsid w:val="008B148A"/>
    <w:rsid w:val="008B22D6"/>
    <w:rsid w:val="008B2999"/>
    <w:rsid w:val="008B4923"/>
    <w:rsid w:val="008B6462"/>
    <w:rsid w:val="008B74E5"/>
    <w:rsid w:val="008B77B1"/>
    <w:rsid w:val="008B7ACD"/>
    <w:rsid w:val="008C139B"/>
    <w:rsid w:val="008C1658"/>
    <w:rsid w:val="008C1DDE"/>
    <w:rsid w:val="008C229C"/>
    <w:rsid w:val="008C2CAB"/>
    <w:rsid w:val="008C4605"/>
    <w:rsid w:val="008C46DC"/>
    <w:rsid w:val="008C5398"/>
    <w:rsid w:val="008C5518"/>
    <w:rsid w:val="008C5D3A"/>
    <w:rsid w:val="008C5F55"/>
    <w:rsid w:val="008C70E8"/>
    <w:rsid w:val="008D0321"/>
    <w:rsid w:val="008D105F"/>
    <w:rsid w:val="008D11BF"/>
    <w:rsid w:val="008D13B1"/>
    <w:rsid w:val="008D1B6B"/>
    <w:rsid w:val="008D1C51"/>
    <w:rsid w:val="008D1EFE"/>
    <w:rsid w:val="008D1F11"/>
    <w:rsid w:val="008D2CFC"/>
    <w:rsid w:val="008D2E6C"/>
    <w:rsid w:val="008D3675"/>
    <w:rsid w:val="008D51AE"/>
    <w:rsid w:val="008D5C74"/>
    <w:rsid w:val="008D6149"/>
    <w:rsid w:val="008D62E4"/>
    <w:rsid w:val="008E12A9"/>
    <w:rsid w:val="008E236E"/>
    <w:rsid w:val="008E29F8"/>
    <w:rsid w:val="008E3494"/>
    <w:rsid w:val="008E3926"/>
    <w:rsid w:val="008E4FF8"/>
    <w:rsid w:val="008E518E"/>
    <w:rsid w:val="008E6375"/>
    <w:rsid w:val="008E6577"/>
    <w:rsid w:val="008F07E0"/>
    <w:rsid w:val="008F0930"/>
    <w:rsid w:val="008F1127"/>
    <w:rsid w:val="008F3972"/>
    <w:rsid w:val="008F4267"/>
    <w:rsid w:val="008F44FD"/>
    <w:rsid w:val="008F4D7A"/>
    <w:rsid w:val="008F4E06"/>
    <w:rsid w:val="008F4F7A"/>
    <w:rsid w:val="008F56A1"/>
    <w:rsid w:val="008F6A6C"/>
    <w:rsid w:val="008F6D24"/>
    <w:rsid w:val="008F6E44"/>
    <w:rsid w:val="008F6F96"/>
    <w:rsid w:val="008F7F39"/>
    <w:rsid w:val="00900956"/>
    <w:rsid w:val="00901FFB"/>
    <w:rsid w:val="00902590"/>
    <w:rsid w:val="00902CF5"/>
    <w:rsid w:val="00902E9A"/>
    <w:rsid w:val="0090337F"/>
    <w:rsid w:val="00903C57"/>
    <w:rsid w:val="0090562E"/>
    <w:rsid w:val="00905C53"/>
    <w:rsid w:val="009060E1"/>
    <w:rsid w:val="00906D5E"/>
    <w:rsid w:val="00906EE5"/>
    <w:rsid w:val="00907ED0"/>
    <w:rsid w:val="00913284"/>
    <w:rsid w:val="009132F2"/>
    <w:rsid w:val="00913E0F"/>
    <w:rsid w:val="00914AF2"/>
    <w:rsid w:val="00914DF3"/>
    <w:rsid w:val="00916CCD"/>
    <w:rsid w:val="009173C8"/>
    <w:rsid w:val="00920230"/>
    <w:rsid w:val="00920E46"/>
    <w:rsid w:val="0092151A"/>
    <w:rsid w:val="009215D0"/>
    <w:rsid w:val="009226A0"/>
    <w:rsid w:val="00923519"/>
    <w:rsid w:val="00924558"/>
    <w:rsid w:val="0092463A"/>
    <w:rsid w:val="00925382"/>
    <w:rsid w:val="00926235"/>
    <w:rsid w:val="00926F67"/>
    <w:rsid w:val="00927385"/>
    <w:rsid w:val="00927650"/>
    <w:rsid w:val="009303E1"/>
    <w:rsid w:val="00930C68"/>
    <w:rsid w:val="009310BA"/>
    <w:rsid w:val="00931258"/>
    <w:rsid w:val="0093178A"/>
    <w:rsid w:val="00931DDD"/>
    <w:rsid w:val="00932C87"/>
    <w:rsid w:val="009333F0"/>
    <w:rsid w:val="00933709"/>
    <w:rsid w:val="00933E15"/>
    <w:rsid w:val="009378FF"/>
    <w:rsid w:val="0094005F"/>
    <w:rsid w:val="0094043F"/>
    <w:rsid w:val="00941001"/>
    <w:rsid w:val="00941168"/>
    <w:rsid w:val="009421EF"/>
    <w:rsid w:val="009423D3"/>
    <w:rsid w:val="009429DE"/>
    <w:rsid w:val="00943889"/>
    <w:rsid w:val="00943D67"/>
    <w:rsid w:val="0094454B"/>
    <w:rsid w:val="00944572"/>
    <w:rsid w:val="00944622"/>
    <w:rsid w:val="009454D3"/>
    <w:rsid w:val="009455C4"/>
    <w:rsid w:val="00946CA5"/>
    <w:rsid w:val="00947141"/>
    <w:rsid w:val="00951ABC"/>
    <w:rsid w:val="00952148"/>
    <w:rsid w:val="009537A1"/>
    <w:rsid w:val="0095498F"/>
    <w:rsid w:val="00954A11"/>
    <w:rsid w:val="0095521A"/>
    <w:rsid w:val="00955659"/>
    <w:rsid w:val="009562EF"/>
    <w:rsid w:val="0095746E"/>
    <w:rsid w:val="00957CE2"/>
    <w:rsid w:val="009600AC"/>
    <w:rsid w:val="00960250"/>
    <w:rsid w:val="0096038B"/>
    <w:rsid w:val="0096069A"/>
    <w:rsid w:val="00961A90"/>
    <w:rsid w:val="00964528"/>
    <w:rsid w:val="009659A9"/>
    <w:rsid w:val="00965ACC"/>
    <w:rsid w:val="00966338"/>
    <w:rsid w:val="00966D07"/>
    <w:rsid w:val="0096754E"/>
    <w:rsid w:val="00970659"/>
    <w:rsid w:val="00970ABB"/>
    <w:rsid w:val="00970D60"/>
    <w:rsid w:val="00973186"/>
    <w:rsid w:val="00973638"/>
    <w:rsid w:val="00973F11"/>
    <w:rsid w:val="00974E29"/>
    <w:rsid w:val="00975D9D"/>
    <w:rsid w:val="00976AB8"/>
    <w:rsid w:val="00977078"/>
    <w:rsid w:val="00980249"/>
    <w:rsid w:val="0098087A"/>
    <w:rsid w:val="00980C77"/>
    <w:rsid w:val="00982D08"/>
    <w:rsid w:val="00982D3A"/>
    <w:rsid w:val="00982E44"/>
    <w:rsid w:val="00983051"/>
    <w:rsid w:val="0098368E"/>
    <w:rsid w:val="0098667D"/>
    <w:rsid w:val="00986B23"/>
    <w:rsid w:val="00986C77"/>
    <w:rsid w:val="00987FB4"/>
    <w:rsid w:val="00990E46"/>
    <w:rsid w:val="009928F3"/>
    <w:rsid w:val="009931D6"/>
    <w:rsid w:val="0099480F"/>
    <w:rsid w:val="00994C3F"/>
    <w:rsid w:val="00994CE4"/>
    <w:rsid w:val="00996067"/>
    <w:rsid w:val="009967EB"/>
    <w:rsid w:val="00996C9F"/>
    <w:rsid w:val="009A087D"/>
    <w:rsid w:val="009A1DBD"/>
    <w:rsid w:val="009A21F0"/>
    <w:rsid w:val="009A2BFC"/>
    <w:rsid w:val="009A359F"/>
    <w:rsid w:val="009A4E37"/>
    <w:rsid w:val="009A5719"/>
    <w:rsid w:val="009A5E8F"/>
    <w:rsid w:val="009A691A"/>
    <w:rsid w:val="009A718B"/>
    <w:rsid w:val="009A7F4D"/>
    <w:rsid w:val="009B27BC"/>
    <w:rsid w:val="009B2A68"/>
    <w:rsid w:val="009B2CB9"/>
    <w:rsid w:val="009B319C"/>
    <w:rsid w:val="009B4256"/>
    <w:rsid w:val="009B4D3D"/>
    <w:rsid w:val="009B5492"/>
    <w:rsid w:val="009B5879"/>
    <w:rsid w:val="009B6524"/>
    <w:rsid w:val="009B6CA2"/>
    <w:rsid w:val="009B71A8"/>
    <w:rsid w:val="009C2E0E"/>
    <w:rsid w:val="009C347E"/>
    <w:rsid w:val="009C6275"/>
    <w:rsid w:val="009C7738"/>
    <w:rsid w:val="009C7C12"/>
    <w:rsid w:val="009D064E"/>
    <w:rsid w:val="009D0968"/>
    <w:rsid w:val="009D1BAC"/>
    <w:rsid w:val="009D239E"/>
    <w:rsid w:val="009D2C13"/>
    <w:rsid w:val="009D3B1B"/>
    <w:rsid w:val="009D4519"/>
    <w:rsid w:val="009D52F5"/>
    <w:rsid w:val="009D5746"/>
    <w:rsid w:val="009D6307"/>
    <w:rsid w:val="009D6D66"/>
    <w:rsid w:val="009D728D"/>
    <w:rsid w:val="009E0339"/>
    <w:rsid w:val="009E16F6"/>
    <w:rsid w:val="009E21EF"/>
    <w:rsid w:val="009E257F"/>
    <w:rsid w:val="009E32DE"/>
    <w:rsid w:val="009E37BB"/>
    <w:rsid w:val="009E430B"/>
    <w:rsid w:val="009E4D3A"/>
    <w:rsid w:val="009E5219"/>
    <w:rsid w:val="009E5437"/>
    <w:rsid w:val="009E5818"/>
    <w:rsid w:val="009E63B7"/>
    <w:rsid w:val="009E65EA"/>
    <w:rsid w:val="009E6A91"/>
    <w:rsid w:val="009E7D67"/>
    <w:rsid w:val="009F09AD"/>
    <w:rsid w:val="009F0EF7"/>
    <w:rsid w:val="009F1165"/>
    <w:rsid w:val="009F2860"/>
    <w:rsid w:val="009F3CDA"/>
    <w:rsid w:val="009F41ED"/>
    <w:rsid w:val="009F5DAF"/>
    <w:rsid w:val="009F6E9E"/>
    <w:rsid w:val="00A01D23"/>
    <w:rsid w:val="00A02C0C"/>
    <w:rsid w:val="00A03FCF"/>
    <w:rsid w:val="00A0463D"/>
    <w:rsid w:val="00A04670"/>
    <w:rsid w:val="00A047ED"/>
    <w:rsid w:val="00A053CA"/>
    <w:rsid w:val="00A055E3"/>
    <w:rsid w:val="00A06FC6"/>
    <w:rsid w:val="00A11DD7"/>
    <w:rsid w:val="00A1201E"/>
    <w:rsid w:val="00A126B8"/>
    <w:rsid w:val="00A1379C"/>
    <w:rsid w:val="00A142CF"/>
    <w:rsid w:val="00A14E86"/>
    <w:rsid w:val="00A150ED"/>
    <w:rsid w:val="00A15F3F"/>
    <w:rsid w:val="00A1614B"/>
    <w:rsid w:val="00A166B0"/>
    <w:rsid w:val="00A16D7D"/>
    <w:rsid w:val="00A20190"/>
    <w:rsid w:val="00A210FF"/>
    <w:rsid w:val="00A21F1B"/>
    <w:rsid w:val="00A2238E"/>
    <w:rsid w:val="00A22C14"/>
    <w:rsid w:val="00A23489"/>
    <w:rsid w:val="00A240F1"/>
    <w:rsid w:val="00A254CF"/>
    <w:rsid w:val="00A255B1"/>
    <w:rsid w:val="00A25C7C"/>
    <w:rsid w:val="00A26EB2"/>
    <w:rsid w:val="00A26F1E"/>
    <w:rsid w:val="00A274E7"/>
    <w:rsid w:val="00A27905"/>
    <w:rsid w:val="00A27CBF"/>
    <w:rsid w:val="00A30F63"/>
    <w:rsid w:val="00A31756"/>
    <w:rsid w:val="00A31918"/>
    <w:rsid w:val="00A320D6"/>
    <w:rsid w:val="00A32326"/>
    <w:rsid w:val="00A32B4D"/>
    <w:rsid w:val="00A32D14"/>
    <w:rsid w:val="00A33140"/>
    <w:rsid w:val="00A34132"/>
    <w:rsid w:val="00A34F47"/>
    <w:rsid w:val="00A3510A"/>
    <w:rsid w:val="00A35D80"/>
    <w:rsid w:val="00A37872"/>
    <w:rsid w:val="00A37B17"/>
    <w:rsid w:val="00A404C3"/>
    <w:rsid w:val="00A40C98"/>
    <w:rsid w:val="00A416ED"/>
    <w:rsid w:val="00A41770"/>
    <w:rsid w:val="00A41DD1"/>
    <w:rsid w:val="00A44D58"/>
    <w:rsid w:val="00A46B98"/>
    <w:rsid w:val="00A470D2"/>
    <w:rsid w:val="00A47B2E"/>
    <w:rsid w:val="00A5104A"/>
    <w:rsid w:val="00A51C13"/>
    <w:rsid w:val="00A51D84"/>
    <w:rsid w:val="00A52235"/>
    <w:rsid w:val="00A53A68"/>
    <w:rsid w:val="00A54E90"/>
    <w:rsid w:val="00A55DD3"/>
    <w:rsid w:val="00A562E1"/>
    <w:rsid w:val="00A56750"/>
    <w:rsid w:val="00A57157"/>
    <w:rsid w:val="00A57402"/>
    <w:rsid w:val="00A57C76"/>
    <w:rsid w:val="00A57F04"/>
    <w:rsid w:val="00A614C1"/>
    <w:rsid w:val="00A61CBC"/>
    <w:rsid w:val="00A62B96"/>
    <w:rsid w:val="00A630ED"/>
    <w:rsid w:val="00A6476D"/>
    <w:rsid w:val="00A64E6B"/>
    <w:rsid w:val="00A70AC6"/>
    <w:rsid w:val="00A70BC4"/>
    <w:rsid w:val="00A7137F"/>
    <w:rsid w:val="00A713EF"/>
    <w:rsid w:val="00A71AEF"/>
    <w:rsid w:val="00A71F07"/>
    <w:rsid w:val="00A725FB"/>
    <w:rsid w:val="00A7316A"/>
    <w:rsid w:val="00A74C0E"/>
    <w:rsid w:val="00A74D84"/>
    <w:rsid w:val="00A75179"/>
    <w:rsid w:val="00A75277"/>
    <w:rsid w:val="00A768F6"/>
    <w:rsid w:val="00A76C49"/>
    <w:rsid w:val="00A77E91"/>
    <w:rsid w:val="00A800A4"/>
    <w:rsid w:val="00A803FE"/>
    <w:rsid w:val="00A80599"/>
    <w:rsid w:val="00A80782"/>
    <w:rsid w:val="00A81AF2"/>
    <w:rsid w:val="00A8277B"/>
    <w:rsid w:val="00A82E4F"/>
    <w:rsid w:val="00A8316A"/>
    <w:rsid w:val="00A838D7"/>
    <w:rsid w:val="00A840FE"/>
    <w:rsid w:val="00A8432D"/>
    <w:rsid w:val="00A84639"/>
    <w:rsid w:val="00A8523D"/>
    <w:rsid w:val="00A85407"/>
    <w:rsid w:val="00A85466"/>
    <w:rsid w:val="00A87568"/>
    <w:rsid w:val="00A87676"/>
    <w:rsid w:val="00A916A7"/>
    <w:rsid w:val="00A91D6B"/>
    <w:rsid w:val="00A942B1"/>
    <w:rsid w:val="00A9458F"/>
    <w:rsid w:val="00A9616F"/>
    <w:rsid w:val="00AA0756"/>
    <w:rsid w:val="00AA0ECF"/>
    <w:rsid w:val="00AA14A9"/>
    <w:rsid w:val="00AA1B20"/>
    <w:rsid w:val="00AA372F"/>
    <w:rsid w:val="00AA37D3"/>
    <w:rsid w:val="00AA5544"/>
    <w:rsid w:val="00AA55C9"/>
    <w:rsid w:val="00AA5FF6"/>
    <w:rsid w:val="00AB01AF"/>
    <w:rsid w:val="00AB0448"/>
    <w:rsid w:val="00AB0DE4"/>
    <w:rsid w:val="00AB2494"/>
    <w:rsid w:val="00AB257C"/>
    <w:rsid w:val="00AB53C9"/>
    <w:rsid w:val="00AB5759"/>
    <w:rsid w:val="00AB5C39"/>
    <w:rsid w:val="00AB5FA5"/>
    <w:rsid w:val="00AB6482"/>
    <w:rsid w:val="00AB7C0D"/>
    <w:rsid w:val="00AC007F"/>
    <w:rsid w:val="00AC1427"/>
    <w:rsid w:val="00AC1580"/>
    <w:rsid w:val="00AC1770"/>
    <w:rsid w:val="00AC2250"/>
    <w:rsid w:val="00AC2F4D"/>
    <w:rsid w:val="00AC5871"/>
    <w:rsid w:val="00AC593C"/>
    <w:rsid w:val="00AC5ABF"/>
    <w:rsid w:val="00AC6218"/>
    <w:rsid w:val="00AC624A"/>
    <w:rsid w:val="00AC7145"/>
    <w:rsid w:val="00AC7ECD"/>
    <w:rsid w:val="00AD0059"/>
    <w:rsid w:val="00AD0079"/>
    <w:rsid w:val="00AD1180"/>
    <w:rsid w:val="00AD11CF"/>
    <w:rsid w:val="00AD217F"/>
    <w:rsid w:val="00AD21F9"/>
    <w:rsid w:val="00AD247B"/>
    <w:rsid w:val="00AD260F"/>
    <w:rsid w:val="00AD488F"/>
    <w:rsid w:val="00AD534D"/>
    <w:rsid w:val="00AD55CA"/>
    <w:rsid w:val="00AD5869"/>
    <w:rsid w:val="00AD678D"/>
    <w:rsid w:val="00AD7402"/>
    <w:rsid w:val="00AD793F"/>
    <w:rsid w:val="00AD7D2E"/>
    <w:rsid w:val="00AE0D4E"/>
    <w:rsid w:val="00AE1736"/>
    <w:rsid w:val="00AE328E"/>
    <w:rsid w:val="00AE4D4C"/>
    <w:rsid w:val="00AF0062"/>
    <w:rsid w:val="00AF03F7"/>
    <w:rsid w:val="00AF06CF"/>
    <w:rsid w:val="00AF06F3"/>
    <w:rsid w:val="00AF1037"/>
    <w:rsid w:val="00AF1049"/>
    <w:rsid w:val="00AF10C4"/>
    <w:rsid w:val="00AF2ECE"/>
    <w:rsid w:val="00AF2F47"/>
    <w:rsid w:val="00AF3218"/>
    <w:rsid w:val="00AF40C7"/>
    <w:rsid w:val="00AF4313"/>
    <w:rsid w:val="00AF4F82"/>
    <w:rsid w:val="00AF637F"/>
    <w:rsid w:val="00AF7024"/>
    <w:rsid w:val="00AF7B4D"/>
    <w:rsid w:val="00AF7EC1"/>
    <w:rsid w:val="00B00D77"/>
    <w:rsid w:val="00B0150C"/>
    <w:rsid w:val="00B016D5"/>
    <w:rsid w:val="00B03081"/>
    <w:rsid w:val="00B03242"/>
    <w:rsid w:val="00B03AAB"/>
    <w:rsid w:val="00B040B6"/>
    <w:rsid w:val="00B04DBD"/>
    <w:rsid w:val="00B06A3F"/>
    <w:rsid w:val="00B06FE2"/>
    <w:rsid w:val="00B0734E"/>
    <w:rsid w:val="00B073C2"/>
    <w:rsid w:val="00B07832"/>
    <w:rsid w:val="00B07B5E"/>
    <w:rsid w:val="00B1061F"/>
    <w:rsid w:val="00B12EA0"/>
    <w:rsid w:val="00B13082"/>
    <w:rsid w:val="00B1320F"/>
    <w:rsid w:val="00B152C5"/>
    <w:rsid w:val="00B15D42"/>
    <w:rsid w:val="00B163CE"/>
    <w:rsid w:val="00B16785"/>
    <w:rsid w:val="00B178F1"/>
    <w:rsid w:val="00B20007"/>
    <w:rsid w:val="00B20342"/>
    <w:rsid w:val="00B20614"/>
    <w:rsid w:val="00B219CE"/>
    <w:rsid w:val="00B22324"/>
    <w:rsid w:val="00B2589E"/>
    <w:rsid w:val="00B26AC4"/>
    <w:rsid w:val="00B27D11"/>
    <w:rsid w:val="00B31068"/>
    <w:rsid w:val="00B31A78"/>
    <w:rsid w:val="00B31BA9"/>
    <w:rsid w:val="00B31F49"/>
    <w:rsid w:val="00B32F36"/>
    <w:rsid w:val="00B34B6A"/>
    <w:rsid w:val="00B35612"/>
    <w:rsid w:val="00B35EB5"/>
    <w:rsid w:val="00B35FC8"/>
    <w:rsid w:val="00B36125"/>
    <w:rsid w:val="00B36160"/>
    <w:rsid w:val="00B379E9"/>
    <w:rsid w:val="00B41E91"/>
    <w:rsid w:val="00B41ED1"/>
    <w:rsid w:val="00B422A4"/>
    <w:rsid w:val="00B424D4"/>
    <w:rsid w:val="00B42BA7"/>
    <w:rsid w:val="00B43AB9"/>
    <w:rsid w:val="00B4452B"/>
    <w:rsid w:val="00B44EA7"/>
    <w:rsid w:val="00B45830"/>
    <w:rsid w:val="00B4592C"/>
    <w:rsid w:val="00B45E60"/>
    <w:rsid w:val="00B460B8"/>
    <w:rsid w:val="00B46688"/>
    <w:rsid w:val="00B46B6A"/>
    <w:rsid w:val="00B47077"/>
    <w:rsid w:val="00B47E0F"/>
    <w:rsid w:val="00B509F0"/>
    <w:rsid w:val="00B60A07"/>
    <w:rsid w:val="00B61937"/>
    <w:rsid w:val="00B61A54"/>
    <w:rsid w:val="00B650F0"/>
    <w:rsid w:val="00B6573F"/>
    <w:rsid w:val="00B668CE"/>
    <w:rsid w:val="00B67112"/>
    <w:rsid w:val="00B67525"/>
    <w:rsid w:val="00B67610"/>
    <w:rsid w:val="00B67AEF"/>
    <w:rsid w:val="00B7203C"/>
    <w:rsid w:val="00B72C67"/>
    <w:rsid w:val="00B74CA9"/>
    <w:rsid w:val="00B75F6F"/>
    <w:rsid w:val="00B77146"/>
    <w:rsid w:val="00B77935"/>
    <w:rsid w:val="00B77D85"/>
    <w:rsid w:val="00B80362"/>
    <w:rsid w:val="00B80D06"/>
    <w:rsid w:val="00B8113D"/>
    <w:rsid w:val="00B815E3"/>
    <w:rsid w:val="00B818CA"/>
    <w:rsid w:val="00B8194E"/>
    <w:rsid w:val="00B83A17"/>
    <w:rsid w:val="00B83B3C"/>
    <w:rsid w:val="00B843BD"/>
    <w:rsid w:val="00B845DB"/>
    <w:rsid w:val="00B85017"/>
    <w:rsid w:val="00B8534F"/>
    <w:rsid w:val="00B856FD"/>
    <w:rsid w:val="00B863DE"/>
    <w:rsid w:val="00B866EB"/>
    <w:rsid w:val="00B86BF2"/>
    <w:rsid w:val="00B86C7D"/>
    <w:rsid w:val="00B8725D"/>
    <w:rsid w:val="00B87E4B"/>
    <w:rsid w:val="00B90347"/>
    <w:rsid w:val="00B91313"/>
    <w:rsid w:val="00B944BD"/>
    <w:rsid w:val="00B947BD"/>
    <w:rsid w:val="00B94FD9"/>
    <w:rsid w:val="00B96336"/>
    <w:rsid w:val="00B9665A"/>
    <w:rsid w:val="00BA14D2"/>
    <w:rsid w:val="00BA2AAA"/>
    <w:rsid w:val="00BA2EF3"/>
    <w:rsid w:val="00BA44F6"/>
    <w:rsid w:val="00BA4724"/>
    <w:rsid w:val="00BA4A95"/>
    <w:rsid w:val="00BA4C28"/>
    <w:rsid w:val="00BA6AB6"/>
    <w:rsid w:val="00BA6CF2"/>
    <w:rsid w:val="00BA7803"/>
    <w:rsid w:val="00BB2948"/>
    <w:rsid w:val="00BB4798"/>
    <w:rsid w:val="00BB5F51"/>
    <w:rsid w:val="00BB63A1"/>
    <w:rsid w:val="00BC2308"/>
    <w:rsid w:val="00BC3031"/>
    <w:rsid w:val="00BC38C2"/>
    <w:rsid w:val="00BC3941"/>
    <w:rsid w:val="00BC3A69"/>
    <w:rsid w:val="00BC585F"/>
    <w:rsid w:val="00BC5D62"/>
    <w:rsid w:val="00BC725F"/>
    <w:rsid w:val="00BC7B72"/>
    <w:rsid w:val="00BC7E84"/>
    <w:rsid w:val="00BD0121"/>
    <w:rsid w:val="00BD029D"/>
    <w:rsid w:val="00BD199F"/>
    <w:rsid w:val="00BD206F"/>
    <w:rsid w:val="00BD373C"/>
    <w:rsid w:val="00BD4359"/>
    <w:rsid w:val="00BD4A1A"/>
    <w:rsid w:val="00BD5469"/>
    <w:rsid w:val="00BD6373"/>
    <w:rsid w:val="00BD67E3"/>
    <w:rsid w:val="00BE0E17"/>
    <w:rsid w:val="00BE1760"/>
    <w:rsid w:val="00BE258C"/>
    <w:rsid w:val="00BE2727"/>
    <w:rsid w:val="00BE36E4"/>
    <w:rsid w:val="00BE63F2"/>
    <w:rsid w:val="00BE7655"/>
    <w:rsid w:val="00BE774C"/>
    <w:rsid w:val="00BF015F"/>
    <w:rsid w:val="00BF0D63"/>
    <w:rsid w:val="00BF25BE"/>
    <w:rsid w:val="00BF2DF4"/>
    <w:rsid w:val="00BF3390"/>
    <w:rsid w:val="00BF33AF"/>
    <w:rsid w:val="00BF455E"/>
    <w:rsid w:val="00BF557D"/>
    <w:rsid w:val="00BF5C9B"/>
    <w:rsid w:val="00BF5CC4"/>
    <w:rsid w:val="00BF62C6"/>
    <w:rsid w:val="00BF7866"/>
    <w:rsid w:val="00C00852"/>
    <w:rsid w:val="00C015F3"/>
    <w:rsid w:val="00C0199B"/>
    <w:rsid w:val="00C0287B"/>
    <w:rsid w:val="00C03195"/>
    <w:rsid w:val="00C03FEA"/>
    <w:rsid w:val="00C0470A"/>
    <w:rsid w:val="00C047D6"/>
    <w:rsid w:val="00C047F4"/>
    <w:rsid w:val="00C04838"/>
    <w:rsid w:val="00C04A6D"/>
    <w:rsid w:val="00C04BC9"/>
    <w:rsid w:val="00C0521A"/>
    <w:rsid w:val="00C056A7"/>
    <w:rsid w:val="00C05CA7"/>
    <w:rsid w:val="00C06326"/>
    <w:rsid w:val="00C06421"/>
    <w:rsid w:val="00C0735B"/>
    <w:rsid w:val="00C07925"/>
    <w:rsid w:val="00C10745"/>
    <w:rsid w:val="00C11E16"/>
    <w:rsid w:val="00C128CB"/>
    <w:rsid w:val="00C131D0"/>
    <w:rsid w:val="00C1341F"/>
    <w:rsid w:val="00C13DC7"/>
    <w:rsid w:val="00C140C5"/>
    <w:rsid w:val="00C147D8"/>
    <w:rsid w:val="00C14ACB"/>
    <w:rsid w:val="00C15C3A"/>
    <w:rsid w:val="00C15EBC"/>
    <w:rsid w:val="00C16EA6"/>
    <w:rsid w:val="00C20B08"/>
    <w:rsid w:val="00C20C2F"/>
    <w:rsid w:val="00C2282F"/>
    <w:rsid w:val="00C23965"/>
    <w:rsid w:val="00C24340"/>
    <w:rsid w:val="00C24B65"/>
    <w:rsid w:val="00C24CF1"/>
    <w:rsid w:val="00C267E6"/>
    <w:rsid w:val="00C2682B"/>
    <w:rsid w:val="00C26F89"/>
    <w:rsid w:val="00C27106"/>
    <w:rsid w:val="00C2736F"/>
    <w:rsid w:val="00C313E2"/>
    <w:rsid w:val="00C3370B"/>
    <w:rsid w:val="00C34A6B"/>
    <w:rsid w:val="00C34CD9"/>
    <w:rsid w:val="00C3543F"/>
    <w:rsid w:val="00C3554A"/>
    <w:rsid w:val="00C3616B"/>
    <w:rsid w:val="00C367FA"/>
    <w:rsid w:val="00C40C4C"/>
    <w:rsid w:val="00C41363"/>
    <w:rsid w:val="00C4147F"/>
    <w:rsid w:val="00C42197"/>
    <w:rsid w:val="00C44443"/>
    <w:rsid w:val="00C446F6"/>
    <w:rsid w:val="00C44CAD"/>
    <w:rsid w:val="00C45897"/>
    <w:rsid w:val="00C45D49"/>
    <w:rsid w:val="00C45E92"/>
    <w:rsid w:val="00C46162"/>
    <w:rsid w:val="00C46BA8"/>
    <w:rsid w:val="00C47003"/>
    <w:rsid w:val="00C503F2"/>
    <w:rsid w:val="00C50577"/>
    <w:rsid w:val="00C50B79"/>
    <w:rsid w:val="00C50FFB"/>
    <w:rsid w:val="00C51B5C"/>
    <w:rsid w:val="00C51CED"/>
    <w:rsid w:val="00C52941"/>
    <w:rsid w:val="00C52C05"/>
    <w:rsid w:val="00C5368E"/>
    <w:rsid w:val="00C5489E"/>
    <w:rsid w:val="00C557DA"/>
    <w:rsid w:val="00C55EC8"/>
    <w:rsid w:val="00C56703"/>
    <w:rsid w:val="00C569E8"/>
    <w:rsid w:val="00C57964"/>
    <w:rsid w:val="00C5796B"/>
    <w:rsid w:val="00C60228"/>
    <w:rsid w:val="00C60A12"/>
    <w:rsid w:val="00C6106C"/>
    <w:rsid w:val="00C61EF0"/>
    <w:rsid w:val="00C62286"/>
    <w:rsid w:val="00C623CD"/>
    <w:rsid w:val="00C62EDE"/>
    <w:rsid w:val="00C64CC2"/>
    <w:rsid w:val="00C65343"/>
    <w:rsid w:val="00C66204"/>
    <w:rsid w:val="00C663AD"/>
    <w:rsid w:val="00C66805"/>
    <w:rsid w:val="00C67C6A"/>
    <w:rsid w:val="00C70C8B"/>
    <w:rsid w:val="00C71DBE"/>
    <w:rsid w:val="00C72EAE"/>
    <w:rsid w:val="00C73204"/>
    <w:rsid w:val="00C73211"/>
    <w:rsid w:val="00C73EE0"/>
    <w:rsid w:val="00C7424B"/>
    <w:rsid w:val="00C76054"/>
    <w:rsid w:val="00C765E1"/>
    <w:rsid w:val="00C76827"/>
    <w:rsid w:val="00C77060"/>
    <w:rsid w:val="00C80580"/>
    <w:rsid w:val="00C80A47"/>
    <w:rsid w:val="00C80F42"/>
    <w:rsid w:val="00C81A65"/>
    <w:rsid w:val="00C81BB5"/>
    <w:rsid w:val="00C81DCA"/>
    <w:rsid w:val="00C8231C"/>
    <w:rsid w:val="00C837F1"/>
    <w:rsid w:val="00C86B44"/>
    <w:rsid w:val="00C86CBD"/>
    <w:rsid w:val="00C8746A"/>
    <w:rsid w:val="00C904AD"/>
    <w:rsid w:val="00C90A61"/>
    <w:rsid w:val="00C91731"/>
    <w:rsid w:val="00C91C01"/>
    <w:rsid w:val="00C920BF"/>
    <w:rsid w:val="00C921BC"/>
    <w:rsid w:val="00C92797"/>
    <w:rsid w:val="00C93673"/>
    <w:rsid w:val="00C9598B"/>
    <w:rsid w:val="00C95B04"/>
    <w:rsid w:val="00C95E64"/>
    <w:rsid w:val="00C9666D"/>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7B8"/>
    <w:rsid w:val="00CA789A"/>
    <w:rsid w:val="00CA7BE9"/>
    <w:rsid w:val="00CB1446"/>
    <w:rsid w:val="00CB1C46"/>
    <w:rsid w:val="00CB2440"/>
    <w:rsid w:val="00CB2C0B"/>
    <w:rsid w:val="00CB30D5"/>
    <w:rsid w:val="00CB3B16"/>
    <w:rsid w:val="00CB50F5"/>
    <w:rsid w:val="00CB5308"/>
    <w:rsid w:val="00CB5A43"/>
    <w:rsid w:val="00CB5E3A"/>
    <w:rsid w:val="00CB6950"/>
    <w:rsid w:val="00CB6BB6"/>
    <w:rsid w:val="00CB6DED"/>
    <w:rsid w:val="00CB7CB4"/>
    <w:rsid w:val="00CC075F"/>
    <w:rsid w:val="00CC0E3B"/>
    <w:rsid w:val="00CC2490"/>
    <w:rsid w:val="00CC2D38"/>
    <w:rsid w:val="00CC2F5C"/>
    <w:rsid w:val="00CC30E6"/>
    <w:rsid w:val="00CC3FA0"/>
    <w:rsid w:val="00CC4247"/>
    <w:rsid w:val="00CC4405"/>
    <w:rsid w:val="00CC47EA"/>
    <w:rsid w:val="00CC4A89"/>
    <w:rsid w:val="00CC54EF"/>
    <w:rsid w:val="00CC631A"/>
    <w:rsid w:val="00CC76DE"/>
    <w:rsid w:val="00CC77A6"/>
    <w:rsid w:val="00CC77DE"/>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E09BE"/>
    <w:rsid w:val="00CE0D02"/>
    <w:rsid w:val="00CE11ED"/>
    <w:rsid w:val="00CE1740"/>
    <w:rsid w:val="00CE1D1F"/>
    <w:rsid w:val="00CE240A"/>
    <w:rsid w:val="00CE26A0"/>
    <w:rsid w:val="00CE2749"/>
    <w:rsid w:val="00CE29E1"/>
    <w:rsid w:val="00CE3243"/>
    <w:rsid w:val="00CE32FB"/>
    <w:rsid w:val="00CE4580"/>
    <w:rsid w:val="00CE4FC4"/>
    <w:rsid w:val="00CE5510"/>
    <w:rsid w:val="00CE5D7F"/>
    <w:rsid w:val="00CE7B18"/>
    <w:rsid w:val="00CE7DDB"/>
    <w:rsid w:val="00CF06BF"/>
    <w:rsid w:val="00CF072C"/>
    <w:rsid w:val="00CF1625"/>
    <w:rsid w:val="00CF1DD3"/>
    <w:rsid w:val="00CF2141"/>
    <w:rsid w:val="00CF25FF"/>
    <w:rsid w:val="00CF2FC5"/>
    <w:rsid w:val="00CF3BF0"/>
    <w:rsid w:val="00CF3CCB"/>
    <w:rsid w:val="00CF3FDF"/>
    <w:rsid w:val="00CF42C5"/>
    <w:rsid w:val="00CF4A01"/>
    <w:rsid w:val="00CF58C7"/>
    <w:rsid w:val="00CF5E26"/>
    <w:rsid w:val="00CF6255"/>
    <w:rsid w:val="00CF6D8E"/>
    <w:rsid w:val="00CF711B"/>
    <w:rsid w:val="00D007FC"/>
    <w:rsid w:val="00D00B8F"/>
    <w:rsid w:val="00D013D3"/>
    <w:rsid w:val="00D01D31"/>
    <w:rsid w:val="00D02030"/>
    <w:rsid w:val="00D02565"/>
    <w:rsid w:val="00D02847"/>
    <w:rsid w:val="00D02B31"/>
    <w:rsid w:val="00D039D5"/>
    <w:rsid w:val="00D05A0D"/>
    <w:rsid w:val="00D12184"/>
    <w:rsid w:val="00D12435"/>
    <w:rsid w:val="00D1267A"/>
    <w:rsid w:val="00D13266"/>
    <w:rsid w:val="00D13B6E"/>
    <w:rsid w:val="00D13F9F"/>
    <w:rsid w:val="00D14284"/>
    <w:rsid w:val="00D14D42"/>
    <w:rsid w:val="00D15A36"/>
    <w:rsid w:val="00D15F2A"/>
    <w:rsid w:val="00D17AC5"/>
    <w:rsid w:val="00D212F1"/>
    <w:rsid w:val="00D21E08"/>
    <w:rsid w:val="00D2255D"/>
    <w:rsid w:val="00D23B52"/>
    <w:rsid w:val="00D23F02"/>
    <w:rsid w:val="00D2533D"/>
    <w:rsid w:val="00D25A01"/>
    <w:rsid w:val="00D26E60"/>
    <w:rsid w:val="00D27A55"/>
    <w:rsid w:val="00D306D4"/>
    <w:rsid w:val="00D307C5"/>
    <w:rsid w:val="00D30ABA"/>
    <w:rsid w:val="00D30E30"/>
    <w:rsid w:val="00D318E9"/>
    <w:rsid w:val="00D32099"/>
    <w:rsid w:val="00D33761"/>
    <w:rsid w:val="00D33FAC"/>
    <w:rsid w:val="00D34831"/>
    <w:rsid w:val="00D368BF"/>
    <w:rsid w:val="00D37F30"/>
    <w:rsid w:val="00D42145"/>
    <w:rsid w:val="00D43AFD"/>
    <w:rsid w:val="00D443D8"/>
    <w:rsid w:val="00D45152"/>
    <w:rsid w:val="00D451A5"/>
    <w:rsid w:val="00D476DC"/>
    <w:rsid w:val="00D47A80"/>
    <w:rsid w:val="00D47A9E"/>
    <w:rsid w:val="00D47BE7"/>
    <w:rsid w:val="00D509DF"/>
    <w:rsid w:val="00D50FAE"/>
    <w:rsid w:val="00D5115B"/>
    <w:rsid w:val="00D511B7"/>
    <w:rsid w:val="00D51880"/>
    <w:rsid w:val="00D52FCA"/>
    <w:rsid w:val="00D5331E"/>
    <w:rsid w:val="00D53FDB"/>
    <w:rsid w:val="00D54D3C"/>
    <w:rsid w:val="00D550B9"/>
    <w:rsid w:val="00D5538C"/>
    <w:rsid w:val="00D56016"/>
    <w:rsid w:val="00D56B66"/>
    <w:rsid w:val="00D56BF0"/>
    <w:rsid w:val="00D6061D"/>
    <w:rsid w:val="00D60A46"/>
    <w:rsid w:val="00D6146F"/>
    <w:rsid w:val="00D6199D"/>
    <w:rsid w:val="00D61EBE"/>
    <w:rsid w:val="00D64F0B"/>
    <w:rsid w:val="00D65CB2"/>
    <w:rsid w:val="00D66B18"/>
    <w:rsid w:val="00D66E70"/>
    <w:rsid w:val="00D725F2"/>
    <w:rsid w:val="00D725FA"/>
    <w:rsid w:val="00D72AEE"/>
    <w:rsid w:val="00D731DC"/>
    <w:rsid w:val="00D73446"/>
    <w:rsid w:val="00D7392B"/>
    <w:rsid w:val="00D755CB"/>
    <w:rsid w:val="00D75644"/>
    <w:rsid w:val="00D75655"/>
    <w:rsid w:val="00D7574E"/>
    <w:rsid w:val="00D75F16"/>
    <w:rsid w:val="00D76131"/>
    <w:rsid w:val="00D76B92"/>
    <w:rsid w:val="00D81DCD"/>
    <w:rsid w:val="00D82219"/>
    <w:rsid w:val="00D823CA"/>
    <w:rsid w:val="00D83076"/>
    <w:rsid w:val="00D83BD1"/>
    <w:rsid w:val="00D83CD5"/>
    <w:rsid w:val="00D8408C"/>
    <w:rsid w:val="00D8450E"/>
    <w:rsid w:val="00D84F26"/>
    <w:rsid w:val="00D85062"/>
    <w:rsid w:val="00D85A3D"/>
    <w:rsid w:val="00D86CFC"/>
    <w:rsid w:val="00D92F0A"/>
    <w:rsid w:val="00D92F27"/>
    <w:rsid w:val="00D93CA3"/>
    <w:rsid w:val="00D940F7"/>
    <w:rsid w:val="00D947BA"/>
    <w:rsid w:val="00D94880"/>
    <w:rsid w:val="00D95481"/>
    <w:rsid w:val="00D95D92"/>
    <w:rsid w:val="00D96889"/>
    <w:rsid w:val="00D9692A"/>
    <w:rsid w:val="00D96BFC"/>
    <w:rsid w:val="00D97BC1"/>
    <w:rsid w:val="00D97F22"/>
    <w:rsid w:val="00DA08B5"/>
    <w:rsid w:val="00DA11FF"/>
    <w:rsid w:val="00DA1E2C"/>
    <w:rsid w:val="00DA21D6"/>
    <w:rsid w:val="00DA3918"/>
    <w:rsid w:val="00DA4E99"/>
    <w:rsid w:val="00DA5150"/>
    <w:rsid w:val="00DA59D7"/>
    <w:rsid w:val="00DA6274"/>
    <w:rsid w:val="00DB0727"/>
    <w:rsid w:val="00DB0DC9"/>
    <w:rsid w:val="00DB2B62"/>
    <w:rsid w:val="00DB2CD6"/>
    <w:rsid w:val="00DB3384"/>
    <w:rsid w:val="00DB3663"/>
    <w:rsid w:val="00DB4AFC"/>
    <w:rsid w:val="00DB50B5"/>
    <w:rsid w:val="00DB6217"/>
    <w:rsid w:val="00DB6A9F"/>
    <w:rsid w:val="00DB6DC5"/>
    <w:rsid w:val="00DB7179"/>
    <w:rsid w:val="00DC01C8"/>
    <w:rsid w:val="00DC03A8"/>
    <w:rsid w:val="00DC075E"/>
    <w:rsid w:val="00DC081F"/>
    <w:rsid w:val="00DC24A5"/>
    <w:rsid w:val="00DC304B"/>
    <w:rsid w:val="00DC342A"/>
    <w:rsid w:val="00DC5955"/>
    <w:rsid w:val="00DC7CD3"/>
    <w:rsid w:val="00DD05A3"/>
    <w:rsid w:val="00DD0A13"/>
    <w:rsid w:val="00DD1053"/>
    <w:rsid w:val="00DD1761"/>
    <w:rsid w:val="00DD1942"/>
    <w:rsid w:val="00DD20C9"/>
    <w:rsid w:val="00DD2153"/>
    <w:rsid w:val="00DD29F1"/>
    <w:rsid w:val="00DD2E34"/>
    <w:rsid w:val="00DD2FBA"/>
    <w:rsid w:val="00DD40F2"/>
    <w:rsid w:val="00DD495A"/>
    <w:rsid w:val="00DD4EC8"/>
    <w:rsid w:val="00DD5A76"/>
    <w:rsid w:val="00DD621C"/>
    <w:rsid w:val="00DD6B88"/>
    <w:rsid w:val="00DD6CB9"/>
    <w:rsid w:val="00DD6E21"/>
    <w:rsid w:val="00DE03EF"/>
    <w:rsid w:val="00DE0792"/>
    <w:rsid w:val="00DE0955"/>
    <w:rsid w:val="00DE11A9"/>
    <w:rsid w:val="00DE26B3"/>
    <w:rsid w:val="00DE2DCC"/>
    <w:rsid w:val="00DE43FB"/>
    <w:rsid w:val="00DE443A"/>
    <w:rsid w:val="00DE4F02"/>
    <w:rsid w:val="00DE5903"/>
    <w:rsid w:val="00DE6E9D"/>
    <w:rsid w:val="00DE7298"/>
    <w:rsid w:val="00DE7753"/>
    <w:rsid w:val="00DF02A9"/>
    <w:rsid w:val="00DF061D"/>
    <w:rsid w:val="00DF0689"/>
    <w:rsid w:val="00DF0DCB"/>
    <w:rsid w:val="00DF1AEC"/>
    <w:rsid w:val="00DF4499"/>
    <w:rsid w:val="00DF46CF"/>
    <w:rsid w:val="00DF55F7"/>
    <w:rsid w:val="00DF649B"/>
    <w:rsid w:val="00DF7AF7"/>
    <w:rsid w:val="00DF7C40"/>
    <w:rsid w:val="00E00B68"/>
    <w:rsid w:val="00E00F3B"/>
    <w:rsid w:val="00E030AD"/>
    <w:rsid w:val="00E04070"/>
    <w:rsid w:val="00E043DC"/>
    <w:rsid w:val="00E04EAE"/>
    <w:rsid w:val="00E06DA5"/>
    <w:rsid w:val="00E0714D"/>
    <w:rsid w:val="00E077A0"/>
    <w:rsid w:val="00E12B31"/>
    <w:rsid w:val="00E12D87"/>
    <w:rsid w:val="00E13891"/>
    <w:rsid w:val="00E15844"/>
    <w:rsid w:val="00E1666D"/>
    <w:rsid w:val="00E174A7"/>
    <w:rsid w:val="00E176C9"/>
    <w:rsid w:val="00E20A87"/>
    <w:rsid w:val="00E20E57"/>
    <w:rsid w:val="00E21446"/>
    <w:rsid w:val="00E21793"/>
    <w:rsid w:val="00E231AB"/>
    <w:rsid w:val="00E23404"/>
    <w:rsid w:val="00E24AC0"/>
    <w:rsid w:val="00E24EBD"/>
    <w:rsid w:val="00E250F2"/>
    <w:rsid w:val="00E252B2"/>
    <w:rsid w:val="00E25541"/>
    <w:rsid w:val="00E25ED3"/>
    <w:rsid w:val="00E2673C"/>
    <w:rsid w:val="00E267A4"/>
    <w:rsid w:val="00E277C0"/>
    <w:rsid w:val="00E277F4"/>
    <w:rsid w:val="00E308D4"/>
    <w:rsid w:val="00E319BD"/>
    <w:rsid w:val="00E31CBB"/>
    <w:rsid w:val="00E34107"/>
    <w:rsid w:val="00E34586"/>
    <w:rsid w:val="00E348A5"/>
    <w:rsid w:val="00E34C99"/>
    <w:rsid w:val="00E35872"/>
    <w:rsid w:val="00E37FD3"/>
    <w:rsid w:val="00E41549"/>
    <w:rsid w:val="00E41AB1"/>
    <w:rsid w:val="00E41CB3"/>
    <w:rsid w:val="00E41E31"/>
    <w:rsid w:val="00E43067"/>
    <w:rsid w:val="00E44FA1"/>
    <w:rsid w:val="00E45374"/>
    <w:rsid w:val="00E50517"/>
    <w:rsid w:val="00E52297"/>
    <w:rsid w:val="00E53701"/>
    <w:rsid w:val="00E53B77"/>
    <w:rsid w:val="00E54331"/>
    <w:rsid w:val="00E543DF"/>
    <w:rsid w:val="00E54E07"/>
    <w:rsid w:val="00E5516C"/>
    <w:rsid w:val="00E55498"/>
    <w:rsid w:val="00E5684E"/>
    <w:rsid w:val="00E568A9"/>
    <w:rsid w:val="00E572FA"/>
    <w:rsid w:val="00E57E6E"/>
    <w:rsid w:val="00E57FB9"/>
    <w:rsid w:val="00E65895"/>
    <w:rsid w:val="00E66610"/>
    <w:rsid w:val="00E67518"/>
    <w:rsid w:val="00E67560"/>
    <w:rsid w:val="00E6773F"/>
    <w:rsid w:val="00E70C74"/>
    <w:rsid w:val="00E70C94"/>
    <w:rsid w:val="00E70DEA"/>
    <w:rsid w:val="00E71446"/>
    <w:rsid w:val="00E735D2"/>
    <w:rsid w:val="00E739D8"/>
    <w:rsid w:val="00E749DE"/>
    <w:rsid w:val="00E74C6E"/>
    <w:rsid w:val="00E757D1"/>
    <w:rsid w:val="00E75FAD"/>
    <w:rsid w:val="00E76AAF"/>
    <w:rsid w:val="00E7737A"/>
    <w:rsid w:val="00E77578"/>
    <w:rsid w:val="00E77A4F"/>
    <w:rsid w:val="00E82468"/>
    <w:rsid w:val="00E82528"/>
    <w:rsid w:val="00E825D5"/>
    <w:rsid w:val="00E82B4B"/>
    <w:rsid w:val="00E831BA"/>
    <w:rsid w:val="00E83F1C"/>
    <w:rsid w:val="00E85FF9"/>
    <w:rsid w:val="00E86100"/>
    <w:rsid w:val="00E8734E"/>
    <w:rsid w:val="00E875A3"/>
    <w:rsid w:val="00E87632"/>
    <w:rsid w:val="00E87643"/>
    <w:rsid w:val="00E90229"/>
    <w:rsid w:val="00E91B04"/>
    <w:rsid w:val="00E9336A"/>
    <w:rsid w:val="00E941B2"/>
    <w:rsid w:val="00E94E86"/>
    <w:rsid w:val="00E9594D"/>
    <w:rsid w:val="00E960A8"/>
    <w:rsid w:val="00E961B9"/>
    <w:rsid w:val="00E9631C"/>
    <w:rsid w:val="00E968A8"/>
    <w:rsid w:val="00E968BD"/>
    <w:rsid w:val="00E97578"/>
    <w:rsid w:val="00EA309C"/>
    <w:rsid w:val="00EA3724"/>
    <w:rsid w:val="00EA47B0"/>
    <w:rsid w:val="00EA6CA0"/>
    <w:rsid w:val="00EB0118"/>
    <w:rsid w:val="00EB1BCD"/>
    <w:rsid w:val="00EB2F8C"/>
    <w:rsid w:val="00EB33F7"/>
    <w:rsid w:val="00EB3607"/>
    <w:rsid w:val="00EB6F94"/>
    <w:rsid w:val="00EC0380"/>
    <w:rsid w:val="00EC0675"/>
    <w:rsid w:val="00EC1898"/>
    <w:rsid w:val="00EC2BAA"/>
    <w:rsid w:val="00EC3722"/>
    <w:rsid w:val="00EC550B"/>
    <w:rsid w:val="00EC7C23"/>
    <w:rsid w:val="00EC7C8D"/>
    <w:rsid w:val="00EC7DC9"/>
    <w:rsid w:val="00ED140D"/>
    <w:rsid w:val="00ED14FC"/>
    <w:rsid w:val="00ED1B3A"/>
    <w:rsid w:val="00ED1BD6"/>
    <w:rsid w:val="00ED2129"/>
    <w:rsid w:val="00ED29C0"/>
    <w:rsid w:val="00ED3103"/>
    <w:rsid w:val="00ED3C2D"/>
    <w:rsid w:val="00ED5C64"/>
    <w:rsid w:val="00ED6828"/>
    <w:rsid w:val="00ED6858"/>
    <w:rsid w:val="00ED7195"/>
    <w:rsid w:val="00ED787B"/>
    <w:rsid w:val="00ED78E7"/>
    <w:rsid w:val="00EE05B4"/>
    <w:rsid w:val="00EE1111"/>
    <w:rsid w:val="00EE34C9"/>
    <w:rsid w:val="00EE3FE5"/>
    <w:rsid w:val="00EE4CC5"/>
    <w:rsid w:val="00EE5ACA"/>
    <w:rsid w:val="00EE69E0"/>
    <w:rsid w:val="00EF0748"/>
    <w:rsid w:val="00EF0A1A"/>
    <w:rsid w:val="00EF1E57"/>
    <w:rsid w:val="00EF28F3"/>
    <w:rsid w:val="00EF295D"/>
    <w:rsid w:val="00EF4AFD"/>
    <w:rsid w:val="00EF55B4"/>
    <w:rsid w:val="00F01F16"/>
    <w:rsid w:val="00F02AEE"/>
    <w:rsid w:val="00F031C6"/>
    <w:rsid w:val="00F03DA6"/>
    <w:rsid w:val="00F05896"/>
    <w:rsid w:val="00F06F26"/>
    <w:rsid w:val="00F06FAC"/>
    <w:rsid w:val="00F07ED1"/>
    <w:rsid w:val="00F104AB"/>
    <w:rsid w:val="00F10DAC"/>
    <w:rsid w:val="00F10DFB"/>
    <w:rsid w:val="00F10ED1"/>
    <w:rsid w:val="00F13816"/>
    <w:rsid w:val="00F16151"/>
    <w:rsid w:val="00F1621E"/>
    <w:rsid w:val="00F179B7"/>
    <w:rsid w:val="00F17D9F"/>
    <w:rsid w:val="00F2065B"/>
    <w:rsid w:val="00F2146B"/>
    <w:rsid w:val="00F21D6D"/>
    <w:rsid w:val="00F2220F"/>
    <w:rsid w:val="00F223A5"/>
    <w:rsid w:val="00F22DBF"/>
    <w:rsid w:val="00F231DC"/>
    <w:rsid w:val="00F234BF"/>
    <w:rsid w:val="00F235D4"/>
    <w:rsid w:val="00F23C8D"/>
    <w:rsid w:val="00F23F22"/>
    <w:rsid w:val="00F24ECA"/>
    <w:rsid w:val="00F277F7"/>
    <w:rsid w:val="00F2795E"/>
    <w:rsid w:val="00F27C6F"/>
    <w:rsid w:val="00F309F5"/>
    <w:rsid w:val="00F30EA5"/>
    <w:rsid w:val="00F32388"/>
    <w:rsid w:val="00F34220"/>
    <w:rsid w:val="00F34658"/>
    <w:rsid w:val="00F3558E"/>
    <w:rsid w:val="00F373A3"/>
    <w:rsid w:val="00F37E20"/>
    <w:rsid w:val="00F405AE"/>
    <w:rsid w:val="00F42766"/>
    <w:rsid w:val="00F439A7"/>
    <w:rsid w:val="00F47A60"/>
    <w:rsid w:val="00F50498"/>
    <w:rsid w:val="00F508B6"/>
    <w:rsid w:val="00F53E16"/>
    <w:rsid w:val="00F5521B"/>
    <w:rsid w:val="00F5547B"/>
    <w:rsid w:val="00F55BC9"/>
    <w:rsid w:val="00F55C03"/>
    <w:rsid w:val="00F56388"/>
    <w:rsid w:val="00F56956"/>
    <w:rsid w:val="00F602EA"/>
    <w:rsid w:val="00F6033C"/>
    <w:rsid w:val="00F60998"/>
    <w:rsid w:val="00F60C2B"/>
    <w:rsid w:val="00F619D5"/>
    <w:rsid w:val="00F6228C"/>
    <w:rsid w:val="00F62790"/>
    <w:rsid w:val="00F64108"/>
    <w:rsid w:val="00F65B6F"/>
    <w:rsid w:val="00F65E0A"/>
    <w:rsid w:val="00F6682D"/>
    <w:rsid w:val="00F66ED1"/>
    <w:rsid w:val="00F66FE4"/>
    <w:rsid w:val="00F7046B"/>
    <w:rsid w:val="00F71D68"/>
    <w:rsid w:val="00F71ED2"/>
    <w:rsid w:val="00F7231B"/>
    <w:rsid w:val="00F74020"/>
    <w:rsid w:val="00F759B4"/>
    <w:rsid w:val="00F764A4"/>
    <w:rsid w:val="00F7696C"/>
    <w:rsid w:val="00F7726E"/>
    <w:rsid w:val="00F8013E"/>
    <w:rsid w:val="00F80E6F"/>
    <w:rsid w:val="00F81168"/>
    <w:rsid w:val="00F823A4"/>
    <w:rsid w:val="00F8414B"/>
    <w:rsid w:val="00F85861"/>
    <w:rsid w:val="00F8660A"/>
    <w:rsid w:val="00F908AF"/>
    <w:rsid w:val="00F90A63"/>
    <w:rsid w:val="00F90C92"/>
    <w:rsid w:val="00F91B27"/>
    <w:rsid w:val="00F92B1E"/>
    <w:rsid w:val="00F92D0F"/>
    <w:rsid w:val="00F93A1B"/>
    <w:rsid w:val="00F94684"/>
    <w:rsid w:val="00F94A0E"/>
    <w:rsid w:val="00F9516E"/>
    <w:rsid w:val="00FA044A"/>
    <w:rsid w:val="00FA04CE"/>
    <w:rsid w:val="00FA052B"/>
    <w:rsid w:val="00FA0C52"/>
    <w:rsid w:val="00FA20E0"/>
    <w:rsid w:val="00FA21B1"/>
    <w:rsid w:val="00FA27B7"/>
    <w:rsid w:val="00FA317E"/>
    <w:rsid w:val="00FA3216"/>
    <w:rsid w:val="00FA38C5"/>
    <w:rsid w:val="00FA3FC6"/>
    <w:rsid w:val="00FA5710"/>
    <w:rsid w:val="00FA7328"/>
    <w:rsid w:val="00FB0150"/>
    <w:rsid w:val="00FB0AAA"/>
    <w:rsid w:val="00FB0D4E"/>
    <w:rsid w:val="00FB0E0F"/>
    <w:rsid w:val="00FB0F37"/>
    <w:rsid w:val="00FB1774"/>
    <w:rsid w:val="00FB1C7F"/>
    <w:rsid w:val="00FB2BEE"/>
    <w:rsid w:val="00FB3E16"/>
    <w:rsid w:val="00FB48CA"/>
    <w:rsid w:val="00FB513E"/>
    <w:rsid w:val="00FB5651"/>
    <w:rsid w:val="00FB5937"/>
    <w:rsid w:val="00FB594B"/>
    <w:rsid w:val="00FB6583"/>
    <w:rsid w:val="00FB70A7"/>
    <w:rsid w:val="00FB7CD4"/>
    <w:rsid w:val="00FC05A6"/>
    <w:rsid w:val="00FC090B"/>
    <w:rsid w:val="00FC1532"/>
    <w:rsid w:val="00FC1C49"/>
    <w:rsid w:val="00FC4560"/>
    <w:rsid w:val="00FC6689"/>
    <w:rsid w:val="00FC681B"/>
    <w:rsid w:val="00FC69BB"/>
    <w:rsid w:val="00FC70EC"/>
    <w:rsid w:val="00FC7272"/>
    <w:rsid w:val="00FC7571"/>
    <w:rsid w:val="00FC7B97"/>
    <w:rsid w:val="00FD2E78"/>
    <w:rsid w:val="00FD319C"/>
    <w:rsid w:val="00FD432A"/>
    <w:rsid w:val="00FD5FCA"/>
    <w:rsid w:val="00FD6F92"/>
    <w:rsid w:val="00FE0536"/>
    <w:rsid w:val="00FE089E"/>
    <w:rsid w:val="00FE172A"/>
    <w:rsid w:val="00FE1A25"/>
    <w:rsid w:val="00FE1CC2"/>
    <w:rsid w:val="00FE1D2C"/>
    <w:rsid w:val="00FE223B"/>
    <w:rsid w:val="00FE3AE3"/>
    <w:rsid w:val="00FE4829"/>
    <w:rsid w:val="00FE617A"/>
    <w:rsid w:val="00FE69FB"/>
    <w:rsid w:val="00FE7B18"/>
    <w:rsid w:val="00FF012A"/>
    <w:rsid w:val="00FF0690"/>
    <w:rsid w:val="00FF0A40"/>
    <w:rsid w:val="00FF0C05"/>
    <w:rsid w:val="00FF15D0"/>
    <w:rsid w:val="00FF1A57"/>
    <w:rsid w:val="00FF1B84"/>
    <w:rsid w:val="00FF23C4"/>
    <w:rsid w:val="00FF268F"/>
    <w:rsid w:val="00FF2910"/>
    <w:rsid w:val="00FF3D10"/>
    <w:rsid w:val="00FF4827"/>
    <w:rsid w:val="00FF4A1F"/>
    <w:rsid w:val="00FF4BF2"/>
    <w:rsid w:val="00FF65AD"/>
    <w:rsid w:val="00FF7E51"/>
    <w:rsid w:val="24D67A68"/>
    <w:rsid w:val="29082BE0"/>
    <w:rsid w:val="2F406F0F"/>
    <w:rsid w:val="3DAE0540"/>
    <w:rsid w:val="5BD347B4"/>
    <w:rsid w:val="5CF266B4"/>
    <w:rsid w:val="5FFF0CF4"/>
    <w:rsid w:val="67604DC2"/>
    <w:rsid w:val="71B46619"/>
    <w:rsid w:val="7C330DA6"/>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name="toc 1"/>
    <w:lsdException w:unhideWhenUsed="0" w:uiPriority="99" w:name="toc 2"/>
    <w:lsdException w:qFormat="1" w:unhideWhenUsed="0" w:uiPriority="99"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2"/>
    <w:qFormat/>
    <w:uiPriority w:val="99"/>
    <w:pPr>
      <w:keepNext/>
      <w:keepLines/>
      <w:spacing w:before="340" w:after="330" w:line="578" w:lineRule="auto"/>
      <w:jc w:val="left"/>
      <w:outlineLvl w:val="0"/>
    </w:pPr>
    <w:rPr>
      <w:rFonts w:ascii="Calibri" w:hAnsi="Calibri" w:eastAsia="黑体" w:cs="Calibri"/>
      <w:b/>
      <w:bCs/>
      <w:kern w:val="44"/>
      <w:sz w:val="32"/>
      <w:szCs w:val="32"/>
    </w:rPr>
  </w:style>
  <w:style w:type="paragraph" w:styleId="3">
    <w:name w:val="heading 2"/>
    <w:basedOn w:val="1"/>
    <w:next w:val="1"/>
    <w:link w:val="33"/>
    <w:qFormat/>
    <w:uiPriority w:val="99"/>
    <w:pPr>
      <w:keepNext/>
      <w:keepLines/>
      <w:spacing w:before="260" w:after="260" w:line="416" w:lineRule="auto"/>
      <w:jc w:val="center"/>
      <w:outlineLvl w:val="1"/>
    </w:pPr>
    <w:rPr>
      <w:rFonts w:ascii="Arial" w:hAnsi="Arial" w:eastAsia="黑体" w:cs="Arial"/>
      <w:b/>
      <w:bCs/>
      <w:sz w:val="32"/>
      <w:szCs w:val="32"/>
    </w:rPr>
  </w:style>
  <w:style w:type="paragraph" w:styleId="4">
    <w:name w:val="heading 3"/>
    <w:basedOn w:val="1"/>
    <w:next w:val="1"/>
    <w:link w:val="34"/>
    <w:qFormat/>
    <w:uiPriority w:val="99"/>
    <w:pPr>
      <w:widowControl/>
      <w:jc w:val="left"/>
      <w:outlineLvl w:val="2"/>
    </w:pPr>
    <w:rPr>
      <w:rFonts w:ascii="宋体" w:hAnsi="宋体" w:eastAsia="黑体" w:cs="宋体"/>
      <w:b/>
      <w:bCs/>
      <w:kern w:val="0"/>
      <w:sz w:val="32"/>
      <w:szCs w:val="32"/>
    </w:rPr>
  </w:style>
  <w:style w:type="paragraph" w:styleId="5">
    <w:name w:val="heading 4"/>
    <w:basedOn w:val="1"/>
    <w:next w:val="1"/>
    <w:link w:val="35"/>
    <w:qFormat/>
    <w:uiPriority w:val="99"/>
    <w:pPr>
      <w:adjustRightInd w:val="0"/>
      <w:spacing w:before="180" w:after="140" w:line="480" w:lineRule="atLeast"/>
      <w:textAlignment w:val="baseline"/>
      <w:outlineLvl w:val="3"/>
    </w:pPr>
    <w:rPr>
      <w:rFonts w:ascii="Arial" w:hAnsi="Arial" w:eastAsia="黑体" w:cs="Arial"/>
      <w:kern w:val="0"/>
      <w:sz w:val="32"/>
      <w:szCs w:val="32"/>
    </w:rPr>
  </w:style>
  <w:style w:type="paragraph" w:styleId="6">
    <w:name w:val="heading 5"/>
    <w:basedOn w:val="1"/>
    <w:next w:val="1"/>
    <w:link w:val="36"/>
    <w:qFormat/>
    <w:uiPriority w:val="99"/>
    <w:pPr>
      <w:adjustRightInd w:val="0"/>
      <w:spacing w:before="120" w:after="120" w:line="480" w:lineRule="atLeast"/>
      <w:textAlignment w:val="baseline"/>
      <w:outlineLvl w:val="4"/>
    </w:pPr>
    <w:rPr>
      <w:rFonts w:eastAsia="楷体_GB2312"/>
      <w:b/>
      <w:bCs/>
      <w:kern w:val="0"/>
      <w:sz w:val="30"/>
      <w:szCs w:val="30"/>
    </w:rPr>
  </w:style>
  <w:style w:type="paragraph" w:styleId="7">
    <w:name w:val="heading 6"/>
    <w:basedOn w:val="8"/>
    <w:next w:val="1"/>
    <w:link w:val="37"/>
    <w:qFormat/>
    <w:uiPriority w:val="99"/>
    <w:pPr>
      <w:adjustRightInd w:val="0"/>
      <w:spacing w:line="480" w:lineRule="atLeast"/>
      <w:ind w:firstLine="601" w:firstLineChars="0"/>
      <w:textAlignment w:val="baseline"/>
      <w:outlineLvl w:val="5"/>
    </w:pPr>
    <w:rPr>
      <w:rFonts w:hAnsi="Arial" w:eastAsia="仿宋_GB2312"/>
      <w:kern w:val="0"/>
      <w:sz w:val="30"/>
      <w:szCs w:val="30"/>
    </w:rPr>
  </w:style>
  <w:style w:type="paragraph" w:styleId="9">
    <w:name w:val="heading 7"/>
    <w:basedOn w:val="1"/>
    <w:next w:val="1"/>
    <w:link w:val="38"/>
    <w:qFormat/>
    <w:uiPriority w:val="99"/>
    <w:pPr>
      <w:adjustRightInd w:val="0"/>
      <w:spacing w:line="480" w:lineRule="atLeast"/>
      <w:ind w:left="1500" w:leftChars="200" w:hanging="900" w:hangingChars="300"/>
      <w:textAlignment w:val="baseline"/>
      <w:outlineLvl w:val="6"/>
    </w:pPr>
    <w:rPr>
      <w:rFonts w:eastAsia="仿宋_GB2312"/>
      <w:kern w:val="0"/>
      <w:sz w:val="30"/>
      <w:szCs w:val="30"/>
    </w:rPr>
  </w:style>
  <w:style w:type="paragraph" w:styleId="10">
    <w:name w:val="heading 8"/>
    <w:basedOn w:val="1"/>
    <w:next w:val="1"/>
    <w:link w:val="39"/>
    <w:qFormat/>
    <w:uiPriority w:val="99"/>
    <w:pPr>
      <w:adjustRightInd w:val="0"/>
      <w:spacing w:line="480" w:lineRule="atLeast"/>
      <w:ind w:left="2376" w:leftChars="497" w:hanging="885" w:hangingChars="295"/>
      <w:textAlignment w:val="baseline"/>
      <w:outlineLvl w:val="7"/>
    </w:pPr>
    <w:rPr>
      <w:rFonts w:hAnsi="Arial" w:eastAsia="仿宋_GB2312"/>
      <w:kern w:val="0"/>
      <w:sz w:val="30"/>
      <w:szCs w:val="30"/>
    </w:rPr>
  </w:style>
  <w:style w:type="paragraph" w:styleId="11">
    <w:name w:val="heading 9"/>
    <w:basedOn w:val="1"/>
    <w:next w:val="1"/>
    <w:link w:val="40"/>
    <w:qFormat/>
    <w:uiPriority w:val="99"/>
    <w:pPr>
      <w:adjustRightInd w:val="0"/>
      <w:spacing w:line="480" w:lineRule="atLeast"/>
      <w:ind w:left="3198" w:leftChars="790" w:hanging="828" w:hangingChars="276"/>
      <w:textAlignment w:val="baseline"/>
      <w:outlineLvl w:val="8"/>
    </w:pPr>
    <w:rPr>
      <w:rFonts w:eastAsia="仿宋_GB2312"/>
      <w:kern w:val="0"/>
      <w:sz w:val="30"/>
      <w:szCs w:val="30"/>
    </w:rPr>
  </w:style>
  <w:style w:type="character" w:default="1" w:styleId="25">
    <w:name w:val="Default Paragraph Font"/>
    <w:semiHidden/>
    <w:uiPriority w:val="99"/>
  </w:style>
  <w:style w:type="table" w:default="1" w:styleId="30">
    <w:name w:val="Normal Table"/>
    <w:unhideWhenUsed/>
    <w:qFormat/>
    <w:uiPriority w:val="99"/>
    <w:tblPr>
      <w:tblLayout w:type="fixed"/>
      <w:tblCellMar>
        <w:top w:w="0" w:type="dxa"/>
        <w:left w:w="108" w:type="dxa"/>
        <w:bottom w:w="0" w:type="dxa"/>
        <w:right w:w="108" w:type="dxa"/>
      </w:tblCellMar>
    </w:tblPr>
  </w:style>
  <w:style w:type="paragraph" w:styleId="8">
    <w:name w:val="Normal Indent"/>
    <w:basedOn w:val="1"/>
    <w:qFormat/>
    <w:uiPriority w:val="99"/>
    <w:pPr>
      <w:ind w:firstLine="420" w:firstLineChars="200"/>
    </w:pPr>
  </w:style>
  <w:style w:type="paragraph" w:styleId="12">
    <w:name w:val="Document Map"/>
    <w:basedOn w:val="1"/>
    <w:link w:val="41"/>
    <w:semiHidden/>
    <w:uiPriority w:val="99"/>
    <w:pPr>
      <w:shd w:val="clear" w:color="auto" w:fill="000080"/>
    </w:pPr>
  </w:style>
  <w:style w:type="paragraph" w:styleId="13">
    <w:name w:val="Body Text"/>
    <w:basedOn w:val="1"/>
    <w:link w:val="42"/>
    <w:qFormat/>
    <w:uiPriority w:val="99"/>
    <w:pPr>
      <w:spacing w:after="120"/>
    </w:pPr>
  </w:style>
  <w:style w:type="paragraph" w:styleId="14">
    <w:name w:val="Body Text Indent"/>
    <w:basedOn w:val="1"/>
    <w:link w:val="43"/>
    <w:qFormat/>
    <w:uiPriority w:val="99"/>
    <w:pPr>
      <w:ind w:firstLine="570"/>
    </w:pPr>
    <w:rPr>
      <w:rFonts w:ascii="Calibri" w:hAnsi="Calibri" w:cs="Calibri"/>
      <w:sz w:val="28"/>
      <w:szCs w:val="28"/>
    </w:rPr>
  </w:style>
  <w:style w:type="paragraph" w:styleId="15">
    <w:name w:val="toc 3"/>
    <w:basedOn w:val="1"/>
    <w:next w:val="1"/>
    <w:semiHidden/>
    <w:qFormat/>
    <w:uiPriority w:val="99"/>
    <w:pPr>
      <w:widowControl/>
      <w:spacing w:after="100" w:line="276" w:lineRule="auto"/>
      <w:ind w:left="440"/>
      <w:jc w:val="left"/>
    </w:pPr>
    <w:rPr>
      <w:rFonts w:ascii="Calibri" w:hAnsi="Calibri" w:cs="Calibri"/>
      <w:kern w:val="0"/>
      <w:sz w:val="22"/>
      <w:szCs w:val="22"/>
    </w:rPr>
  </w:style>
  <w:style w:type="paragraph" w:styleId="16">
    <w:name w:val="Plain Text"/>
    <w:basedOn w:val="1"/>
    <w:link w:val="44"/>
    <w:qFormat/>
    <w:uiPriority w:val="99"/>
    <w:rPr>
      <w:rFonts w:ascii="宋体" w:hAnsi="Courier New" w:cs="宋体"/>
    </w:rPr>
  </w:style>
  <w:style w:type="paragraph" w:styleId="17">
    <w:name w:val="Date"/>
    <w:basedOn w:val="1"/>
    <w:next w:val="1"/>
    <w:link w:val="45"/>
    <w:qFormat/>
    <w:uiPriority w:val="99"/>
    <w:pPr>
      <w:ind w:left="100" w:leftChars="2500"/>
    </w:pPr>
    <w:rPr>
      <w:rFonts w:ascii="Calibri" w:hAnsi="Calibri" w:cs="Calibri"/>
    </w:rPr>
  </w:style>
  <w:style w:type="paragraph" w:styleId="18">
    <w:name w:val="Balloon Text"/>
    <w:basedOn w:val="1"/>
    <w:link w:val="46"/>
    <w:semiHidden/>
    <w:qFormat/>
    <w:uiPriority w:val="99"/>
    <w:rPr>
      <w:rFonts w:ascii="Calibri" w:hAnsi="Calibri" w:cs="Calibri"/>
      <w:sz w:val="18"/>
      <w:szCs w:val="18"/>
    </w:rPr>
  </w:style>
  <w:style w:type="paragraph" w:styleId="19">
    <w:name w:val="footer"/>
    <w:basedOn w:val="1"/>
    <w:link w:val="47"/>
    <w:qFormat/>
    <w:uiPriority w:val="99"/>
    <w:pPr>
      <w:tabs>
        <w:tab w:val="center" w:pos="4153"/>
        <w:tab w:val="right" w:pos="8306"/>
      </w:tabs>
      <w:snapToGrid w:val="0"/>
      <w:jc w:val="left"/>
    </w:pPr>
    <w:rPr>
      <w:rFonts w:ascii="Calibri" w:hAnsi="Calibri" w:cs="Calibri"/>
      <w:sz w:val="18"/>
      <w:szCs w:val="18"/>
    </w:rPr>
  </w:style>
  <w:style w:type="paragraph" w:styleId="20">
    <w:name w:val="header"/>
    <w:basedOn w:val="1"/>
    <w:link w:val="48"/>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21">
    <w:name w:val="toc 1"/>
    <w:basedOn w:val="1"/>
    <w:next w:val="1"/>
    <w:semiHidden/>
    <w:uiPriority w:val="99"/>
    <w:pPr>
      <w:widowControl/>
      <w:spacing w:after="100" w:line="276" w:lineRule="auto"/>
      <w:jc w:val="left"/>
    </w:pPr>
    <w:rPr>
      <w:rFonts w:ascii="Calibri" w:hAnsi="Calibri" w:cs="Calibri"/>
      <w:kern w:val="0"/>
      <w:sz w:val="22"/>
      <w:szCs w:val="22"/>
    </w:rPr>
  </w:style>
  <w:style w:type="paragraph" w:styleId="22">
    <w:name w:val="toc 2"/>
    <w:basedOn w:val="1"/>
    <w:next w:val="1"/>
    <w:semiHidden/>
    <w:uiPriority w:val="99"/>
    <w:pPr>
      <w:widowControl/>
      <w:spacing w:after="100" w:line="276" w:lineRule="auto"/>
      <w:ind w:left="220"/>
      <w:jc w:val="left"/>
    </w:pPr>
    <w:rPr>
      <w:rFonts w:ascii="Calibri" w:hAnsi="Calibri" w:cs="Calibri"/>
      <w:kern w:val="0"/>
      <w:sz w:val="22"/>
      <w:szCs w:val="22"/>
    </w:rPr>
  </w:style>
  <w:style w:type="paragraph" w:styleId="23">
    <w:name w:val="HTML Preformatted"/>
    <w:basedOn w:val="1"/>
    <w:link w:val="4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2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26">
    <w:name w:val="Strong"/>
    <w:basedOn w:val="25"/>
    <w:qFormat/>
    <w:uiPriority w:val="99"/>
    <w:rPr>
      <w:b/>
      <w:bCs/>
    </w:rPr>
  </w:style>
  <w:style w:type="character" w:styleId="27">
    <w:name w:val="page number"/>
    <w:basedOn w:val="25"/>
    <w:qFormat/>
    <w:uiPriority w:val="99"/>
  </w:style>
  <w:style w:type="character" w:styleId="28">
    <w:name w:val="Emphasis"/>
    <w:basedOn w:val="25"/>
    <w:qFormat/>
    <w:uiPriority w:val="99"/>
    <w:rPr>
      <w:i/>
      <w:iCs/>
    </w:rPr>
  </w:style>
  <w:style w:type="character" w:styleId="29">
    <w:name w:val="Hyperlink"/>
    <w:basedOn w:val="25"/>
    <w:qFormat/>
    <w:uiPriority w:val="99"/>
    <w:rPr>
      <w:color w:val="auto"/>
      <w:u w:val="none"/>
    </w:rPr>
  </w:style>
  <w:style w:type="table" w:styleId="31">
    <w:name w:val="Table Grid"/>
    <w:basedOn w:val="30"/>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2">
    <w:name w:val="Heading 1 Char"/>
    <w:basedOn w:val="25"/>
    <w:link w:val="2"/>
    <w:qFormat/>
    <w:locked/>
    <w:uiPriority w:val="99"/>
    <w:rPr>
      <w:rFonts w:eastAsia="黑体"/>
      <w:b/>
      <w:bCs/>
      <w:kern w:val="44"/>
      <w:sz w:val="44"/>
      <w:szCs w:val="44"/>
    </w:rPr>
  </w:style>
  <w:style w:type="character" w:customStyle="1" w:styleId="33">
    <w:name w:val="Heading 2 Char"/>
    <w:basedOn w:val="25"/>
    <w:link w:val="3"/>
    <w:locked/>
    <w:uiPriority w:val="99"/>
    <w:rPr>
      <w:rFonts w:ascii="Arial" w:hAnsi="Arial" w:eastAsia="黑体" w:cs="Arial"/>
      <w:b/>
      <w:bCs/>
      <w:kern w:val="2"/>
      <w:sz w:val="32"/>
      <w:szCs w:val="32"/>
      <w:lang w:val="en-US" w:eastAsia="zh-CN"/>
    </w:rPr>
  </w:style>
  <w:style w:type="character" w:customStyle="1" w:styleId="34">
    <w:name w:val="Heading 3 Char"/>
    <w:basedOn w:val="25"/>
    <w:link w:val="4"/>
    <w:qFormat/>
    <w:locked/>
    <w:uiPriority w:val="99"/>
    <w:rPr>
      <w:rFonts w:ascii="宋体" w:hAnsi="宋体" w:eastAsia="黑体" w:cs="宋体"/>
      <w:b/>
      <w:bCs/>
      <w:sz w:val="27"/>
      <w:szCs w:val="27"/>
    </w:rPr>
  </w:style>
  <w:style w:type="character" w:customStyle="1" w:styleId="35">
    <w:name w:val="Heading 4 Char"/>
    <w:basedOn w:val="25"/>
    <w:link w:val="5"/>
    <w:qFormat/>
    <w:locked/>
    <w:uiPriority w:val="99"/>
    <w:rPr>
      <w:rFonts w:ascii="Arial" w:hAnsi="Arial" w:eastAsia="黑体" w:cs="Arial"/>
      <w:sz w:val="32"/>
      <w:szCs w:val="32"/>
    </w:rPr>
  </w:style>
  <w:style w:type="character" w:customStyle="1" w:styleId="36">
    <w:name w:val="Heading 5 Char"/>
    <w:basedOn w:val="25"/>
    <w:link w:val="6"/>
    <w:locked/>
    <w:uiPriority w:val="99"/>
    <w:rPr>
      <w:rFonts w:eastAsia="楷体_GB2312"/>
      <w:b/>
      <w:bCs/>
      <w:sz w:val="30"/>
      <w:szCs w:val="30"/>
    </w:rPr>
  </w:style>
  <w:style w:type="character" w:customStyle="1" w:styleId="37">
    <w:name w:val="Heading 6 Char"/>
    <w:basedOn w:val="25"/>
    <w:link w:val="7"/>
    <w:locked/>
    <w:uiPriority w:val="99"/>
    <w:rPr>
      <w:rFonts w:hAnsi="Arial" w:eastAsia="仿宋_GB2312"/>
      <w:sz w:val="30"/>
      <w:szCs w:val="30"/>
    </w:rPr>
  </w:style>
  <w:style w:type="character" w:customStyle="1" w:styleId="38">
    <w:name w:val="Heading 7 Char"/>
    <w:basedOn w:val="25"/>
    <w:link w:val="9"/>
    <w:locked/>
    <w:uiPriority w:val="99"/>
    <w:rPr>
      <w:rFonts w:eastAsia="仿宋_GB2312"/>
      <w:sz w:val="30"/>
      <w:szCs w:val="30"/>
    </w:rPr>
  </w:style>
  <w:style w:type="character" w:customStyle="1" w:styleId="39">
    <w:name w:val="Heading 8 Char"/>
    <w:basedOn w:val="25"/>
    <w:link w:val="10"/>
    <w:qFormat/>
    <w:locked/>
    <w:uiPriority w:val="99"/>
    <w:rPr>
      <w:rFonts w:hAnsi="Arial" w:eastAsia="仿宋_GB2312"/>
      <w:sz w:val="30"/>
      <w:szCs w:val="30"/>
    </w:rPr>
  </w:style>
  <w:style w:type="character" w:customStyle="1" w:styleId="40">
    <w:name w:val="Heading 9 Char"/>
    <w:basedOn w:val="25"/>
    <w:link w:val="11"/>
    <w:qFormat/>
    <w:locked/>
    <w:uiPriority w:val="99"/>
    <w:rPr>
      <w:rFonts w:eastAsia="仿宋_GB2312"/>
      <w:sz w:val="30"/>
      <w:szCs w:val="30"/>
    </w:rPr>
  </w:style>
  <w:style w:type="character" w:customStyle="1" w:styleId="41">
    <w:name w:val="Document Map Char"/>
    <w:basedOn w:val="25"/>
    <w:link w:val="12"/>
    <w:semiHidden/>
    <w:qFormat/>
    <w:locked/>
    <w:uiPriority w:val="99"/>
    <w:rPr>
      <w:rFonts w:ascii="Times New Roman" w:hAnsi="Times New Roman" w:cs="Times New Roman"/>
      <w:kern w:val="2"/>
      <w:sz w:val="21"/>
      <w:szCs w:val="21"/>
      <w:shd w:val="clear" w:color="auto" w:fill="000080"/>
    </w:rPr>
  </w:style>
  <w:style w:type="character" w:customStyle="1" w:styleId="42">
    <w:name w:val="Body Text Char"/>
    <w:basedOn w:val="25"/>
    <w:link w:val="13"/>
    <w:qFormat/>
    <w:locked/>
    <w:uiPriority w:val="99"/>
    <w:rPr>
      <w:kern w:val="2"/>
      <w:sz w:val="21"/>
      <w:szCs w:val="21"/>
    </w:rPr>
  </w:style>
  <w:style w:type="character" w:customStyle="1" w:styleId="43">
    <w:name w:val="Body Text Indent Char"/>
    <w:basedOn w:val="25"/>
    <w:link w:val="14"/>
    <w:qFormat/>
    <w:locked/>
    <w:uiPriority w:val="99"/>
    <w:rPr>
      <w:kern w:val="2"/>
      <w:sz w:val="28"/>
      <w:szCs w:val="28"/>
    </w:rPr>
  </w:style>
  <w:style w:type="character" w:customStyle="1" w:styleId="44">
    <w:name w:val="Plain Text Char"/>
    <w:basedOn w:val="25"/>
    <w:link w:val="16"/>
    <w:qFormat/>
    <w:locked/>
    <w:uiPriority w:val="99"/>
    <w:rPr>
      <w:rFonts w:ascii="宋体" w:hAnsi="Courier New" w:eastAsia="宋体" w:cs="宋体"/>
      <w:kern w:val="2"/>
      <w:sz w:val="21"/>
      <w:szCs w:val="21"/>
      <w:lang w:val="en-US" w:eastAsia="zh-CN"/>
    </w:rPr>
  </w:style>
  <w:style w:type="character" w:customStyle="1" w:styleId="45">
    <w:name w:val="Date Char"/>
    <w:basedOn w:val="25"/>
    <w:link w:val="17"/>
    <w:qFormat/>
    <w:locked/>
    <w:uiPriority w:val="99"/>
    <w:rPr>
      <w:kern w:val="2"/>
      <w:sz w:val="21"/>
      <w:szCs w:val="21"/>
    </w:rPr>
  </w:style>
  <w:style w:type="character" w:customStyle="1" w:styleId="46">
    <w:name w:val="Balloon Text Char"/>
    <w:basedOn w:val="25"/>
    <w:link w:val="18"/>
    <w:qFormat/>
    <w:locked/>
    <w:uiPriority w:val="99"/>
    <w:rPr>
      <w:kern w:val="2"/>
      <w:sz w:val="18"/>
      <w:szCs w:val="18"/>
    </w:rPr>
  </w:style>
  <w:style w:type="character" w:customStyle="1" w:styleId="47">
    <w:name w:val="Footer Char"/>
    <w:basedOn w:val="25"/>
    <w:link w:val="19"/>
    <w:qFormat/>
    <w:locked/>
    <w:uiPriority w:val="99"/>
    <w:rPr>
      <w:kern w:val="2"/>
      <w:sz w:val="18"/>
      <w:szCs w:val="18"/>
    </w:rPr>
  </w:style>
  <w:style w:type="character" w:customStyle="1" w:styleId="48">
    <w:name w:val="Header Char"/>
    <w:basedOn w:val="25"/>
    <w:link w:val="20"/>
    <w:qFormat/>
    <w:locked/>
    <w:uiPriority w:val="99"/>
    <w:rPr>
      <w:kern w:val="2"/>
      <w:sz w:val="18"/>
      <w:szCs w:val="18"/>
    </w:rPr>
  </w:style>
  <w:style w:type="character" w:customStyle="1" w:styleId="49">
    <w:name w:val="HTML Preformatted Char"/>
    <w:basedOn w:val="25"/>
    <w:link w:val="23"/>
    <w:qFormat/>
    <w:locked/>
    <w:uiPriority w:val="99"/>
    <w:rPr>
      <w:rFonts w:ascii="Arial" w:hAnsi="Arial" w:cs="Arial"/>
      <w:sz w:val="24"/>
      <w:szCs w:val="24"/>
    </w:rPr>
  </w:style>
  <w:style w:type="paragraph" w:customStyle="1" w:styleId="50">
    <w:name w:val="p0"/>
    <w:basedOn w:val="1"/>
    <w:uiPriority w:val="99"/>
    <w:pPr>
      <w:widowControl/>
    </w:pPr>
    <w:rPr>
      <w:kern w:val="0"/>
    </w:rPr>
  </w:style>
  <w:style w:type="character" w:customStyle="1" w:styleId="51">
    <w:name w:val="hei141"/>
    <w:basedOn w:val="25"/>
    <w:qFormat/>
    <w:uiPriority w:val="99"/>
    <w:rPr>
      <w:rFonts w:ascii="宋体" w:hAnsi="宋体" w:eastAsia="宋体" w:cs="宋体"/>
      <w:color w:val="000000"/>
      <w:sz w:val="21"/>
      <w:szCs w:val="21"/>
      <w:u w:val="none"/>
    </w:rPr>
  </w:style>
  <w:style w:type="character" w:customStyle="1" w:styleId="52">
    <w:name w:val="gsjj1"/>
    <w:qFormat/>
    <w:uiPriority w:val="99"/>
    <w:rPr>
      <w:sz w:val="21"/>
      <w:szCs w:val="21"/>
    </w:rPr>
  </w:style>
  <w:style w:type="character" w:customStyle="1" w:styleId="53">
    <w:name w:val="apple-style-span"/>
    <w:basedOn w:val="25"/>
    <w:uiPriority w:val="99"/>
  </w:style>
  <w:style w:type="paragraph" w:customStyle="1" w:styleId="54">
    <w:name w:val="默认段落字体 Para Char Char Char Char Char Char Char"/>
    <w:basedOn w:val="1"/>
    <w:qFormat/>
    <w:uiPriority w:val="99"/>
    <w:pPr>
      <w:spacing w:line="360" w:lineRule="auto"/>
    </w:pPr>
    <w:rPr>
      <w:sz w:val="24"/>
      <w:szCs w:val="24"/>
    </w:rPr>
  </w:style>
  <w:style w:type="character" w:customStyle="1" w:styleId="55">
    <w:name w:val="acool1"/>
    <w:basedOn w:val="25"/>
    <w:uiPriority w:val="99"/>
    <w:rPr>
      <w:b/>
      <w:bCs/>
      <w:color w:val="auto"/>
      <w:sz w:val="40"/>
      <w:szCs w:val="40"/>
    </w:rPr>
  </w:style>
  <w:style w:type="character" w:customStyle="1" w:styleId="56">
    <w:name w:val="competitioncontent1"/>
    <w:basedOn w:val="25"/>
    <w:uiPriority w:val="99"/>
    <w:rPr>
      <w:sz w:val="18"/>
      <w:szCs w:val="18"/>
    </w:rPr>
  </w:style>
  <w:style w:type="paragraph" w:customStyle="1" w:styleId="57">
    <w:name w:val="Char2"/>
    <w:basedOn w:val="1"/>
    <w:uiPriority w:val="99"/>
    <w:rPr>
      <w:rFonts w:ascii="宋体" w:hAnsi="宋体" w:cs="宋体"/>
      <w:sz w:val="32"/>
      <w:szCs w:val="32"/>
    </w:rPr>
  </w:style>
  <w:style w:type="character" w:customStyle="1" w:styleId="58">
    <w:name w:val="content4"/>
    <w:basedOn w:val="25"/>
    <w:uiPriority w:val="99"/>
  </w:style>
  <w:style w:type="paragraph" w:customStyle="1" w:styleId="59">
    <w:name w:val="aa"/>
    <w:basedOn w:val="1"/>
    <w:uiPriority w:val="99"/>
    <w:pPr>
      <w:widowControl/>
      <w:jc w:val="left"/>
    </w:pPr>
    <w:rPr>
      <w:rFonts w:ascii="宋体" w:hAnsi="宋体" w:cs="宋体"/>
      <w:kern w:val="0"/>
      <w:sz w:val="24"/>
      <w:szCs w:val="24"/>
    </w:rPr>
  </w:style>
  <w:style w:type="paragraph" w:customStyle="1" w:styleId="60">
    <w:name w:val="bb"/>
    <w:basedOn w:val="1"/>
    <w:uiPriority w:val="99"/>
    <w:pPr>
      <w:widowControl/>
      <w:jc w:val="left"/>
    </w:pPr>
    <w:rPr>
      <w:rFonts w:ascii="宋体" w:hAnsi="宋体" w:cs="宋体"/>
      <w:kern w:val="0"/>
      <w:sz w:val="24"/>
      <w:szCs w:val="24"/>
    </w:rPr>
  </w:style>
  <w:style w:type="paragraph" w:customStyle="1" w:styleId="61">
    <w:name w:val="Char"/>
    <w:basedOn w:val="1"/>
    <w:qFormat/>
    <w:uiPriority w:val="99"/>
    <w:rPr>
      <w:rFonts w:ascii="Tahoma" w:hAnsi="Tahoma" w:cs="Tahoma"/>
      <w:sz w:val="24"/>
      <w:szCs w:val="24"/>
    </w:rPr>
  </w:style>
  <w:style w:type="character" w:customStyle="1" w:styleId="62">
    <w:name w:val="style61"/>
    <w:basedOn w:val="25"/>
    <w:uiPriority w:val="99"/>
    <w:rPr>
      <w:b/>
      <w:bCs/>
      <w:sz w:val="27"/>
      <w:szCs w:val="27"/>
    </w:rPr>
  </w:style>
  <w:style w:type="paragraph" w:customStyle="1" w:styleId="63">
    <w:name w:val="Char21"/>
    <w:basedOn w:val="1"/>
    <w:uiPriority w:val="99"/>
    <w:rPr>
      <w:rFonts w:ascii="Tahoma" w:hAnsi="Tahoma" w:cs="Tahoma"/>
      <w:sz w:val="24"/>
      <w:szCs w:val="24"/>
    </w:rPr>
  </w:style>
  <w:style w:type="paragraph" w:customStyle="1" w:styleId="64">
    <w:name w:val="Char1"/>
    <w:basedOn w:val="1"/>
    <w:uiPriority w:val="99"/>
    <w:pPr>
      <w:widowControl/>
      <w:spacing w:after="160" w:line="240" w:lineRule="exact"/>
      <w:jc w:val="left"/>
    </w:pPr>
    <w:rPr>
      <w:rFonts w:ascii="Verdana" w:hAnsi="Verdana" w:cs="Verdana"/>
      <w:kern w:val="0"/>
      <w:sz w:val="20"/>
      <w:szCs w:val="20"/>
      <w:lang w:eastAsia="en-US"/>
    </w:rPr>
  </w:style>
  <w:style w:type="character" w:customStyle="1" w:styleId="65">
    <w:name w:val="0031"/>
    <w:basedOn w:val="25"/>
    <w:qFormat/>
    <w:uiPriority w:val="99"/>
    <w:rPr>
      <w:sz w:val="21"/>
      <w:szCs w:val="21"/>
    </w:rPr>
  </w:style>
  <w:style w:type="character" w:customStyle="1" w:styleId="66">
    <w:name w:val="line-h301"/>
    <w:basedOn w:val="25"/>
    <w:qFormat/>
    <w:uiPriority w:val="99"/>
  </w:style>
  <w:style w:type="paragraph" w:customStyle="1" w:styleId="67">
    <w:name w:val="Char1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68">
    <w:name w:val="Char Char Char Char"/>
    <w:basedOn w:val="1"/>
    <w:qFormat/>
    <w:uiPriority w:val="99"/>
    <w:rPr>
      <w:rFonts w:ascii="宋体" w:hAnsi="宋体" w:cs="宋体"/>
      <w:sz w:val="32"/>
      <w:szCs w:val="32"/>
    </w:rPr>
  </w:style>
  <w:style w:type="character" w:customStyle="1" w:styleId="69">
    <w:name w:val="normal1051"/>
    <w:basedOn w:val="25"/>
    <w:qFormat/>
    <w:uiPriority w:val="99"/>
  </w:style>
  <w:style w:type="paragraph" w:customStyle="1" w:styleId="70">
    <w:name w:val="Char4"/>
    <w:basedOn w:val="1"/>
    <w:qFormat/>
    <w:uiPriority w:val="99"/>
    <w:pPr>
      <w:tabs>
        <w:tab w:val="left" w:pos="360"/>
      </w:tabs>
    </w:pPr>
    <w:rPr>
      <w:sz w:val="24"/>
      <w:szCs w:val="24"/>
    </w:rPr>
  </w:style>
  <w:style w:type="paragraph" w:customStyle="1" w:styleId="71">
    <w:name w:val="协会正文"/>
    <w:basedOn w:val="1"/>
    <w:qFormat/>
    <w:uiPriority w:val="99"/>
    <w:pPr>
      <w:spacing w:line="520" w:lineRule="exact"/>
      <w:ind w:firstLine="560" w:firstLineChars="200"/>
    </w:pPr>
    <w:rPr>
      <w:rFonts w:ascii="仿宋_GB2312" w:hAnsi="宋体" w:eastAsia="仿宋_GB2312" w:cs="仿宋_GB2312"/>
      <w:color w:val="000000"/>
      <w:kern w:val="0"/>
      <w:sz w:val="28"/>
      <w:szCs w:val="28"/>
    </w:rPr>
  </w:style>
  <w:style w:type="character" w:customStyle="1" w:styleId="72">
    <w:name w:val="apple-converted-space"/>
    <w:basedOn w:val="25"/>
    <w:qFormat/>
    <w:uiPriority w:val="99"/>
  </w:style>
  <w:style w:type="paragraph" w:customStyle="1" w:styleId="73">
    <w:name w:val="Char3"/>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74">
    <w:name w:val="前言和正文"/>
    <w:qFormat/>
    <w:uiPriority w:val="99"/>
    <w:pPr>
      <w:spacing w:line="460" w:lineRule="exact"/>
      <w:ind w:firstLine="600" w:firstLineChars="200"/>
    </w:pPr>
    <w:rPr>
      <w:rFonts w:ascii="Times New Roman" w:hAnsi="Times New Roman" w:eastAsia="宋体" w:cs="Times New Roman"/>
      <w:kern w:val="0"/>
      <w:sz w:val="30"/>
      <w:szCs w:val="30"/>
      <w:lang w:val="en-US" w:eastAsia="zh-CN" w:bidi="ar-SA"/>
    </w:rPr>
  </w:style>
  <w:style w:type="paragraph" w:customStyle="1" w:styleId="75">
    <w:name w:val="Char Char Char Char1"/>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76">
    <w:name w:val="Default"/>
    <w:uiPriority w:val="99"/>
    <w:pPr>
      <w:widowControl w:val="0"/>
      <w:autoSpaceDE w:val="0"/>
      <w:autoSpaceDN w:val="0"/>
      <w:adjustRightInd w:val="0"/>
    </w:pPr>
    <w:rPr>
      <w:rFonts w:ascii="华文中宋" w:hAnsi="Calibri" w:eastAsia="华文中宋" w:cs="华文中宋"/>
      <w:color w:val="000000"/>
      <w:kern w:val="0"/>
      <w:sz w:val="24"/>
      <w:szCs w:val="24"/>
      <w:lang w:val="en-US" w:eastAsia="zh-CN" w:bidi="ar-SA"/>
    </w:rPr>
  </w:style>
  <w:style w:type="paragraph" w:customStyle="1" w:styleId="77">
    <w:name w:val="列出段落1"/>
    <w:basedOn w:val="1"/>
    <w:uiPriority w:val="99"/>
    <w:pPr>
      <w:ind w:firstLine="420" w:firstLineChars="200"/>
    </w:pPr>
  </w:style>
  <w:style w:type="paragraph" w:customStyle="1" w:styleId="78">
    <w:name w:val="列出段落11"/>
    <w:basedOn w:val="1"/>
    <w:uiPriority w:val="99"/>
    <w:pPr>
      <w:ind w:firstLine="420" w:firstLineChars="200"/>
    </w:pPr>
    <w:rPr>
      <w:rFonts w:ascii="Calibri" w:hAnsi="Calibri" w:cs="Calibri"/>
    </w:rPr>
  </w:style>
  <w:style w:type="character" w:customStyle="1" w:styleId="79">
    <w:name w:val="bb1"/>
    <w:uiPriority w:val="99"/>
    <w:rPr>
      <w:rFonts w:ascii="宋体" w:hAnsi="宋体" w:eastAsia="宋体" w:cs="宋体"/>
      <w:b/>
      <w:bCs/>
      <w:color w:val="auto"/>
      <w:sz w:val="21"/>
      <w:szCs w:val="21"/>
    </w:rPr>
  </w:style>
  <w:style w:type="paragraph" w:customStyle="1" w:styleId="80">
    <w:name w:val="列出段落2"/>
    <w:basedOn w:val="1"/>
    <w:uiPriority w:val="99"/>
    <w:pPr>
      <w:ind w:firstLine="420" w:firstLineChars="200"/>
    </w:pPr>
  </w:style>
  <w:style w:type="table" w:customStyle="1" w:styleId="81">
    <w:name w:val="Table Normal1"/>
    <w:uiPriority w:val="99"/>
    <w:pPr>
      <w:widowControl w:val="0"/>
    </w:pPr>
    <w:rPr>
      <w:kern w:val="0"/>
      <w:sz w:val="22"/>
      <w:lang w:eastAsia="en-US"/>
    </w:rPr>
    <w:tblPr>
      <w:tblLayout w:type="fixed"/>
      <w:tblCellMar>
        <w:top w:w="0" w:type="dxa"/>
        <w:left w:w="0" w:type="dxa"/>
        <w:bottom w:w="0" w:type="dxa"/>
        <w:right w:w="0" w:type="dxa"/>
      </w:tblCellMar>
    </w:tblPr>
  </w:style>
  <w:style w:type="paragraph" w:customStyle="1" w:styleId="82">
    <w:name w:val="标题 11"/>
    <w:basedOn w:val="1"/>
    <w:uiPriority w:val="99"/>
    <w:pPr>
      <w:ind w:left="220"/>
      <w:jc w:val="left"/>
      <w:outlineLvl w:val="1"/>
    </w:pPr>
    <w:rPr>
      <w:rFonts w:ascii="华文中宋" w:hAnsi="华文中宋" w:eastAsia="华文中宋" w:cs="华文中宋"/>
      <w:b/>
      <w:bCs/>
      <w:kern w:val="0"/>
      <w:sz w:val="40"/>
      <w:szCs w:val="40"/>
      <w:lang w:eastAsia="en-US"/>
    </w:rPr>
  </w:style>
  <w:style w:type="paragraph" w:customStyle="1" w:styleId="83">
    <w:name w:val="Table Paragraph"/>
    <w:basedOn w:val="1"/>
    <w:uiPriority w:val="99"/>
    <w:pPr>
      <w:jc w:val="left"/>
    </w:pPr>
    <w:rPr>
      <w:rFonts w:ascii="Calibri" w:hAnsi="Calibri" w:cs="Calibri"/>
      <w:kern w:val="0"/>
      <w:sz w:val="22"/>
      <w:szCs w:val="22"/>
      <w:lang w:eastAsia="en-US"/>
    </w:rPr>
  </w:style>
  <w:style w:type="paragraph" w:customStyle="1" w:styleId="84">
    <w:name w:val="List Paragraph1"/>
    <w:basedOn w:val="1"/>
    <w:uiPriority w:val="99"/>
    <w:pPr>
      <w:ind w:firstLine="420" w:firstLineChars="200"/>
    </w:pPr>
  </w:style>
  <w:style w:type="paragraph" w:customStyle="1" w:styleId="85">
    <w:name w:val="Char Char Char Char2"/>
    <w:basedOn w:val="1"/>
    <w:next w:val="1"/>
    <w:uiPriority w:val="99"/>
    <w:pPr>
      <w:tabs>
        <w:tab w:val="left" w:pos="0"/>
      </w:tabs>
      <w:spacing w:beforeLines="50" w:afterLines="100" w:line="360" w:lineRule="auto"/>
    </w:pPr>
    <w:rPr>
      <w:kern w:val="0"/>
      <w:sz w:val="28"/>
      <w:szCs w:val="28"/>
    </w:rPr>
  </w:style>
  <w:style w:type="paragraph" w:customStyle="1" w:styleId="86">
    <w:name w:val="Char Char Char Char3"/>
    <w:basedOn w:val="1"/>
    <w:next w:val="1"/>
    <w:uiPriority w:val="99"/>
    <w:pPr>
      <w:tabs>
        <w:tab w:val="left" w:pos="0"/>
      </w:tabs>
      <w:spacing w:beforeLines="50" w:afterLines="100" w:line="360" w:lineRule="auto"/>
    </w:pPr>
    <w:rPr>
      <w:kern w:val="0"/>
      <w:sz w:val="28"/>
      <w:szCs w:val="28"/>
    </w:rPr>
  </w:style>
  <w:style w:type="paragraph" w:customStyle="1" w:styleId="87">
    <w:name w:val="Char Char Char Char Char Char Char Char Char Char Char Char Char Char Char Char Char Char Char Char Char Char Char Char Char Char Char Char Char Char Char Char Char"/>
    <w:basedOn w:val="1"/>
    <w:uiPriority w:val="99"/>
    <w:pPr>
      <w:widowControl/>
      <w:spacing w:after="160" w:line="240" w:lineRule="exact"/>
      <w:jc w:val="left"/>
    </w:pPr>
    <w:rPr>
      <w:rFonts w:ascii="Verdana" w:hAnsi="Verdana" w:eastAsia="仿宋_GB2312" w:cs="Verdana"/>
      <w:kern w:val="0"/>
      <w:sz w:val="24"/>
      <w:szCs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14</Pages>
  <Words>9291</Words>
  <Characters>9672</Characters>
  <Lines>0</Lines>
  <Paragraphs>0</Paragraphs>
  <TotalTime>0</TotalTime>
  <ScaleCrop>false</ScaleCrop>
  <LinksUpToDate>false</LinksUpToDate>
  <CharactersWithSpaces>0</CharactersWithSpaces>
  <Application>WPS Office_10.8.0.5422_F1E327BC-269C-435d-A152-05C5408002CA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2015-02-28T00:43:00Z</dcterms:created>
  <dc:creator>user</dc:creator>
  <cp:lastModifiedBy>Administrator</cp:lastModifiedBy>
  <cp:lastPrinted>2019-10-08T01:40:00Z</cp:lastPrinted>
  <dcterms:modified xsi:type="dcterms:W3CDTF">2020-06-08T02:42:06Z</dcterms:modified>
  <dc:title>金山建协简讯</dc:title>
  <cp:revision>875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ies>
</file>