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2020</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第五期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176</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8240;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年六月十日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7216;mso-width-relative:page;mso-height-relative:page;" stroked="t" coordsize="21600,21600">
            <v:path arrowok="t"/>
            <v:fill focussize="0,0"/>
            <v:stroke weight="4.5pt" color="#FF0000"/>
            <v:imagedata o:title=""/>
            <o:lock v:ext="edit"/>
          </v:line>
        </w:pict>
      </w:r>
    </w:p>
    <w:p>
      <w:pPr>
        <w:pStyle w:val="4"/>
        <w:widowControl w:val="0"/>
        <w:spacing w:line="520" w:lineRule="exact"/>
        <w:rPr>
          <w:rFonts w:cs="Times New Roman"/>
        </w:rPr>
      </w:pPr>
      <w:r>
        <w:rPr>
          <w:rFonts w:hint="eastAsia" w:cs="黑体"/>
        </w:rPr>
        <w:t>【协会工作】</w:t>
      </w:r>
    </w:p>
    <w:p>
      <w:pPr>
        <w:spacing w:line="520" w:lineRule="exact"/>
        <w:jc w:val="center"/>
        <w:rPr>
          <w:rFonts w:ascii="黑体" w:hAnsi="Calibri" w:eastAsia="黑体"/>
          <w:b/>
          <w:bCs/>
          <w:sz w:val="32"/>
          <w:szCs w:val="32"/>
        </w:rPr>
      </w:pPr>
      <w:r>
        <w:rPr>
          <w:rFonts w:hint="eastAsia" w:ascii="黑体" w:hAnsi="Calibri" w:eastAsia="黑体" w:cs="黑体"/>
          <w:b/>
          <w:bCs/>
          <w:sz w:val="32"/>
          <w:szCs w:val="32"/>
        </w:rPr>
        <w:t>区建筑联合协会召开关于上海市在沪建筑业信用评价</w:t>
      </w:r>
    </w:p>
    <w:p>
      <w:pPr>
        <w:spacing w:line="520" w:lineRule="exact"/>
        <w:jc w:val="center"/>
        <w:rPr>
          <w:rFonts w:ascii="黑体" w:hAnsi="Calibri" w:eastAsia="黑体"/>
          <w:b/>
          <w:bCs/>
          <w:sz w:val="32"/>
          <w:szCs w:val="32"/>
        </w:rPr>
      </w:pPr>
      <w:r>
        <w:rPr>
          <w:rFonts w:hint="eastAsia" w:ascii="黑体" w:hAnsi="Calibri" w:eastAsia="黑体" w:cs="黑体"/>
          <w:b/>
          <w:bCs/>
          <w:sz w:val="32"/>
          <w:szCs w:val="32"/>
        </w:rPr>
        <w:t>管理办法和标准（</w:t>
      </w:r>
      <w:r>
        <w:rPr>
          <w:rFonts w:ascii="黑体" w:hAnsi="Calibri" w:eastAsia="黑体" w:cs="黑体"/>
          <w:b/>
          <w:bCs/>
          <w:sz w:val="32"/>
          <w:szCs w:val="32"/>
        </w:rPr>
        <w:t>2020</w:t>
      </w:r>
      <w:r>
        <w:rPr>
          <w:rFonts w:hint="eastAsia" w:ascii="黑体" w:hAnsi="Calibri" w:eastAsia="黑体" w:cs="黑体"/>
          <w:b/>
          <w:bCs/>
          <w:sz w:val="32"/>
          <w:szCs w:val="32"/>
        </w:rPr>
        <w:t>版）（征求意见稿）专题研讨会</w:t>
      </w:r>
    </w:p>
    <w:p>
      <w:pPr>
        <w:spacing w:line="520" w:lineRule="exact"/>
        <w:ind w:firstLine="31680" w:firstLineChars="200"/>
        <w:rPr>
          <w:rFonts w:ascii="仿宋_GB2312" w:hAnsi="Calibri" w:eastAsia="仿宋_GB2312"/>
          <w:sz w:val="28"/>
          <w:szCs w:val="28"/>
        </w:rPr>
      </w:pPr>
      <w:r>
        <w:rPr>
          <w:rFonts w:ascii="仿宋_GB2312" w:hAnsi="Calibri" w:eastAsia="仿宋_GB2312" w:cs="仿宋_GB2312"/>
          <w:sz w:val="28"/>
          <w:szCs w:val="28"/>
        </w:rPr>
        <w:t>5</w:t>
      </w:r>
      <w:r>
        <w:rPr>
          <w:rFonts w:hint="eastAsia" w:ascii="仿宋_GB2312" w:hAnsi="Calibri" w:eastAsia="仿宋_GB2312" w:cs="仿宋_GB2312"/>
          <w:sz w:val="28"/>
          <w:szCs w:val="28"/>
        </w:rPr>
        <w:t>月</w:t>
      </w:r>
      <w:r>
        <w:rPr>
          <w:rFonts w:ascii="仿宋_GB2312" w:hAnsi="Calibri" w:eastAsia="仿宋_GB2312" w:cs="仿宋_GB2312"/>
          <w:sz w:val="28"/>
          <w:szCs w:val="28"/>
        </w:rPr>
        <w:t>28</w:t>
      </w:r>
      <w:r>
        <w:rPr>
          <w:rFonts w:hint="eastAsia" w:ascii="仿宋_GB2312" w:hAnsi="Calibri" w:eastAsia="仿宋_GB2312" w:cs="仿宋_GB2312"/>
          <w:sz w:val="28"/>
          <w:szCs w:val="28"/>
        </w:rPr>
        <w:t>日上午，为</w:t>
      </w:r>
      <w:bookmarkStart w:id="0" w:name="_GoBack"/>
      <w:bookmarkEnd w:id="0"/>
      <w:r>
        <w:rPr>
          <w:rFonts w:hint="eastAsia" w:ascii="仿宋_GB2312" w:hAnsi="Calibri" w:eastAsia="仿宋_GB2312" w:cs="仿宋_GB2312"/>
          <w:sz w:val="28"/>
          <w:szCs w:val="28"/>
        </w:rPr>
        <w:t>促进建筑业信用体系良好运行，了解我区建筑业企业信用评价现状和问题，区建筑联合协会召开关于上海市在沪建筑业信用评价管理办法和标准（</w:t>
      </w:r>
      <w:r>
        <w:rPr>
          <w:rFonts w:ascii="仿宋_GB2312" w:hAnsi="Calibri" w:eastAsia="仿宋_GB2312" w:cs="仿宋_GB2312"/>
          <w:sz w:val="28"/>
          <w:szCs w:val="28"/>
        </w:rPr>
        <w:t>2020</w:t>
      </w:r>
      <w:r>
        <w:rPr>
          <w:rFonts w:hint="eastAsia" w:ascii="仿宋_GB2312" w:hAnsi="Calibri" w:eastAsia="仿宋_GB2312" w:cs="仿宋_GB2312"/>
          <w:sz w:val="28"/>
          <w:szCs w:val="28"/>
        </w:rPr>
        <w:t>版）（征求意见稿）专题研讨会，协会理事长张永新、秘书长朱强、各常务理事单位负责人共</w:t>
      </w:r>
      <w:r>
        <w:rPr>
          <w:rFonts w:ascii="仿宋_GB2312" w:hAnsi="Calibri" w:eastAsia="仿宋_GB2312" w:cs="仿宋_GB2312"/>
          <w:sz w:val="28"/>
          <w:szCs w:val="28"/>
        </w:rPr>
        <w:t>13</w:t>
      </w:r>
      <w:r>
        <w:rPr>
          <w:rFonts w:hint="eastAsia" w:ascii="仿宋_GB2312" w:hAnsi="Calibri" w:eastAsia="仿宋_GB2312" w:cs="仿宋_GB2312"/>
          <w:sz w:val="28"/>
          <w:szCs w:val="28"/>
        </w:rPr>
        <w:t>人参加本次会议，会议由协会秘书长朱强主持。</w:t>
      </w:r>
      <w:r>
        <w:rPr>
          <w:rFonts w:ascii="仿宋_GB2312" w:hAnsi="Calibri" w:eastAsia="仿宋_GB2312" w:cs="仿宋_GB2312"/>
          <w:sz w:val="28"/>
          <w:szCs w:val="28"/>
        </w:rPr>
        <w:t xml:space="preserve"> </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首先，朱秘书长就意见稿的重点和修改作了详细介绍和讲解，随后各常务理事结合自身情况展开了积极的讨论，气氛热烈，本次研讨会共总结了三点建议，协会将会把这三点建议，递交到上级管理单位，希望能完善在沪建筑业信用评价体系，同时提高我区信用评价的总体水平，提高我区各建筑业企业的整体竞争力。</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（协会秘书处）</w:t>
      </w:r>
    </w:p>
    <w:p>
      <w:pPr>
        <w:spacing w:line="500" w:lineRule="exact"/>
        <w:ind w:firstLine="31680" w:firstLineChars="200"/>
        <w:rPr>
          <w:rFonts w:ascii="仿宋_GB2312" w:hAnsi="Calibri" w:eastAsia="仿宋_GB2312"/>
          <w:sz w:val="28"/>
          <w:szCs w:val="28"/>
        </w:rPr>
      </w:pPr>
    </w:p>
    <w:p>
      <w:pPr>
        <w:pStyle w:val="4"/>
        <w:spacing w:line="520" w:lineRule="exact"/>
        <w:rPr>
          <w:rFonts w:cs="Times New Roman"/>
        </w:rPr>
      </w:pPr>
      <w:r>
        <w:rPr>
          <w:rFonts w:hint="eastAsia" w:cs="黑体"/>
        </w:rPr>
        <w:t>【法律法规】</w:t>
      </w:r>
    </w:p>
    <w:p>
      <w:pPr>
        <w:spacing w:line="520" w:lineRule="exact"/>
        <w:jc w:val="center"/>
        <w:rPr>
          <w:rFonts w:ascii="仿宋_GB2312" w:hAnsi="Calibri" w:eastAsia="仿宋_GB2312"/>
          <w:sz w:val="28"/>
          <w:szCs w:val="28"/>
        </w:rPr>
      </w:pPr>
      <w:r>
        <w:rPr>
          <w:rFonts w:ascii="黑体" w:eastAsia="黑体" w:cs="黑体"/>
          <w:b/>
          <w:bCs/>
          <w:color w:val="000000"/>
          <w:sz w:val="32"/>
          <w:szCs w:val="32"/>
        </w:rPr>
        <w:t>[</w:t>
      </w:r>
      <w:r>
        <w:rPr>
          <w:rFonts w:hint="eastAsia" w:ascii="黑体" w:eastAsia="黑体" w:cs="黑体"/>
          <w:b/>
          <w:bCs/>
          <w:color w:val="000000"/>
          <w:sz w:val="32"/>
          <w:szCs w:val="32"/>
        </w:rPr>
        <w:t>住建部</w:t>
      </w:r>
      <w:r>
        <w:rPr>
          <w:rFonts w:ascii="黑体" w:eastAsia="黑体" w:cs="黑体"/>
          <w:b/>
          <w:bCs/>
          <w:color w:val="000000"/>
          <w:sz w:val="32"/>
          <w:szCs w:val="32"/>
        </w:rPr>
        <w:t>]</w:t>
      </w:r>
      <w:r>
        <w:rPr>
          <w:rFonts w:hint="eastAsia" w:ascii="黑体" w:eastAsia="黑体" w:cs="黑体"/>
          <w:b/>
          <w:bCs/>
          <w:color w:val="000000"/>
          <w:sz w:val="32"/>
          <w:szCs w:val="32"/>
        </w:rPr>
        <w:t>关于推进建筑垃圾减量化的指导意见</w:t>
      </w:r>
    </w:p>
    <w:p>
      <w:pPr>
        <w:spacing w:line="520" w:lineRule="exact"/>
        <w:jc w:val="center"/>
        <w:rPr>
          <w:rFonts w:ascii="仿宋_GB2312" w:hAnsi="Calibri" w:eastAsia="仿宋_GB2312"/>
        </w:rPr>
      </w:pPr>
      <w:r>
        <w:rPr>
          <w:rFonts w:hint="eastAsia" w:ascii="仿宋_GB2312" w:hAnsi="Calibri" w:eastAsia="仿宋_GB2312" w:cs="仿宋_GB2312"/>
        </w:rPr>
        <w:t>建质〔</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46</w:t>
      </w:r>
      <w:r>
        <w:rPr>
          <w:rFonts w:hint="eastAsia" w:ascii="仿宋_GB2312" w:hAnsi="Calibri" w:eastAsia="仿宋_GB2312" w:cs="仿宋_GB231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各省、自治区住房和城乡建设厅，直辖市住房和城乡建设（管）委，北京市规划和自然资源委，新疆生产建设兵团住房和城乡建设局：</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推进建筑垃圾减量化是建筑垃圾治理体系的重要内容，是节约资源、保护环境的重要举措。为做好建筑垃圾减量化工作，促进绿色建造和建筑业转型升级，现提出如下意见：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一、总体要求</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（一）指导思想。</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以习近平新时代中国特色社会主义思想为指导，深入贯彻落实新发展理念，建立健全建筑垃圾减量化工作机制，加强建筑垃圾源头管控，推动工程建设生产组织模式转变，有效减少工程建设过程建筑垃圾产生和排放，不断推进工程建设可持续发展和城乡人居环境改善。</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（二）基本原则。</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统筹规划，源头减量。统筹工程策划、设计、施工等阶段，从源头上预防和减少工程建设过程中建筑垃圾的产生，有效减少工程全寿命期的建筑垃圾排放。</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因地制宜，系统推进。根据各地具体要求和工程项目实际情况，整合资源，制定计划，多措并举，系统推进建筑垃圾减量化工作。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创新驱动，精细管理。推动建筑垃圾减量化技术和管理创新，推行精细化设计和施工，实现施工现场建筑垃圾分类管控和再利用。</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（三）工作目标。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2020</w:t>
      </w:r>
      <w:r>
        <w:rPr>
          <w:rFonts w:hint="eastAsia" w:ascii="仿宋_GB2312" w:hAnsi="Calibri" w:eastAsia="仿宋_GB2312" w:cs="仿宋_GB2312"/>
          <w:sz w:val="28"/>
          <w:szCs w:val="28"/>
        </w:rPr>
        <w:t>年底，各地区建筑垃圾减量化工作机制初步建立。</w:t>
      </w:r>
      <w:r>
        <w:rPr>
          <w:rFonts w:ascii="仿宋_GB2312" w:hAnsi="Calibri" w:eastAsia="仿宋_GB2312" w:cs="仿宋_GB2312"/>
          <w:sz w:val="28"/>
          <w:szCs w:val="28"/>
        </w:rPr>
        <w:t>2025</w:t>
      </w:r>
      <w:r>
        <w:rPr>
          <w:rFonts w:hint="eastAsia" w:ascii="仿宋_GB2312" w:hAnsi="Calibri" w:eastAsia="仿宋_GB2312" w:cs="仿宋_GB2312"/>
          <w:sz w:val="28"/>
          <w:szCs w:val="28"/>
        </w:rPr>
        <w:t>年底，各地区建筑垃圾减量化工作机制进一步完善，实现新建建筑施工现场建筑垃圾（不包括工程渣土、工程泥浆）排放量每万平方米不高于</w:t>
      </w:r>
      <w:r>
        <w:rPr>
          <w:rFonts w:ascii="仿宋_GB2312" w:hAnsi="Calibri" w:eastAsia="仿宋_GB2312" w:cs="仿宋_GB2312"/>
          <w:sz w:val="28"/>
          <w:szCs w:val="28"/>
        </w:rPr>
        <w:t>300</w:t>
      </w:r>
      <w:r>
        <w:rPr>
          <w:rFonts w:hint="eastAsia" w:ascii="仿宋_GB2312" w:hAnsi="Calibri" w:eastAsia="仿宋_GB2312" w:cs="仿宋_GB2312"/>
          <w:sz w:val="28"/>
          <w:szCs w:val="28"/>
        </w:rPr>
        <w:t>吨，装配式建筑施工现场建筑垃圾（不包括工程渣土、工程泥浆）排放量每万平方米不高于</w:t>
      </w:r>
      <w:r>
        <w:rPr>
          <w:rFonts w:ascii="仿宋_GB2312" w:hAnsi="Calibri" w:eastAsia="仿宋_GB2312" w:cs="仿宋_GB2312"/>
          <w:sz w:val="28"/>
          <w:szCs w:val="28"/>
        </w:rPr>
        <w:t>200</w:t>
      </w:r>
      <w:r>
        <w:rPr>
          <w:rFonts w:hint="eastAsia" w:ascii="仿宋_GB2312" w:hAnsi="Calibri" w:eastAsia="仿宋_GB2312" w:cs="仿宋_GB2312"/>
          <w:sz w:val="28"/>
          <w:szCs w:val="28"/>
        </w:rPr>
        <w:t>吨。</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二、主要措施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（一）开展绿色策划。</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落实企业主体责任。按照“谁产生、谁负责”的原则，落实建设单位建筑垃圾减量化的首要责任。建设单位应将建筑垃圾减量化目标和措施纳入招标文件和合同文本，将建筑垃圾减量化措施费纳入工程概算，并监督设计、施工、监理单位具体落实。</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实施新型建造方式。大力发展装配式建筑，积极推广钢结构装配式住宅，推行工厂化预制、装配化施工、信息化管理的建造模式。鼓励创新设计、施工技术与装备，优先选用绿色建材，实行全装修交付，减少施工现场建筑垃圾的产生。在建设单位主导下，推进建筑信息模型（</w:t>
      </w:r>
      <w:r>
        <w:rPr>
          <w:rFonts w:ascii="仿宋_GB2312" w:hAnsi="Calibri" w:eastAsia="仿宋_GB2312" w:cs="仿宋_GB2312"/>
          <w:sz w:val="28"/>
          <w:szCs w:val="28"/>
        </w:rPr>
        <w:t>BIM</w:t>
      </w:r>
      <w:r>
        <w:rPr>
          <w:rFonts w:hint="eastAsia" w:ascii="仿宋_GB2312" w:hAnsi="Calibri" w:eastAsia="仿宋_GB2312" w:cs="仿宋_GB2312"/>
          <w:sz w:val="28"/>
          <w:szCs w:val="28"/>
        </w:rPr>
        <w:t>）等技术在工程设计和施工中的应用，减少设计中的“错漏碰缺”，辅助施工现场管理，提高资源利用率。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采用新型组织模式。推动工程建设组织方式改革，指导建设单位在工程项目中推行工程总承包和全过程工程咨询，推进建筑师负责制，加强设计与施工深度协同，构建有利于推进建筑垃圾减量化的组织模式。</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（二）实施绿色设计。</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4.</w:t>
      </w:r>
      <w:r>
        <w:rPr>
          <w:rFonts w:hint="eastAsia" w:ascii="仿宋_GB2312" w:hAnsi="Calibri" w:eastAsia="仿宋_GB2312" w:cs="仿宋_GB2312"/>
          <w:sz w:val="28"/>
          <w:szCs w:val="28"/>
        </w:rPr>
        <w:t>树立全寿命期理念。统筹考虑工程全寿命期的耐久性、可持续性，鼓励设计单位采用高强、高性能、高耐久性和可循环材料以及先进适用技术体系等开展工程设计。根据“模数统一、模块协同”原则，推进功能模块和部品构件标准化，减少异型和非标准部品构件。对改建扩建工程，鼓励充分利用原结构及满足要求的原机电设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5.</w:t>
      </w:r>
      <w:r>
        <w:rPr>
          <w:rFonts w:hint="eastAsia" w:ascii="仿宋_GB2312" w:hAnsi="Calibri" w:eastAsia="仿宋_GB2312" w:cs="仿宋_GB2312"/>
          <w:sz w:val="28"/>
          <w:szCs w:val="28"/>
        </w:rPr>
        <w:t>提高设计质量。设计单位应根据地形地貌合理确定场地标高，开展土方平衡论证，减少渣土外运。选择适宜的结构体系，减少建筑形体不规则性。提倡建筑、结构、机电、装修、景观全专业一体化协同设计，保证设计深度满足施工需要，减少施工过程设计变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（三）推广绿色施工。</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6.</w:t>
      </w:r>
      <w:r>
        <w:rPr>
          <w:rFonts w:hint="eastAsia" w:ascii="仿宋_GB2312" w:hAnsi="Calibri" w:eastAsia="仿宋_GB2312" w:cs="仿宋_GB2312"/>
          <w:sz w:val="28"/>
          <w:szCs w:val="28"/>
        </w:rPr>
        <w:t>编制专项方案。施工单位应组织编制施工现场建筑垃圾减量化专项方案，明确建筑垃圾减量化目标和职责分工，提出源头减量、分类管理、就地处置、排放控制的具体措施。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7.</w:t>
      </w:r>
      <w:r>
        <w:rPr>
          <w:rFonts w:hint="eastAsia" w:ascii="仿宋_GB2312" w:hAnsi="Calibri" w:eastAsia="仿宋_GB2312" w:cs="仿宋_GB2312"/>
          <w:sz w:val="28"/>
          <w:szCs w:val="28"/>
        </w:rPr>
        <w:t>做好设计深化和施工组织优化。施工单位应结合工程加工、运输、安装方案和施工工艺要求，细化节点构造和具体做法。优化施工组织设计，合理确定施工工序，推行数字化加工和信息化管理，实现精准下料、精细管理，降低建筑材料损耗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8.</w:t>
      </w:r>
      <w:r>
        <w:rPr>
          <w:rFonts w:hint="eastAsia" w:ascii="仿宋_GB2312" w:hAnsi="Calibri" w:eastAsia="仿宋_GB2312" w:cs="仿宋_GB2312"/>
          <w:sz w:val="28"/>
          <w:szCs w:val="28"/>
        </w:rPr>
        <w:t>强化施工质量管控。施工、监理等单位应严格按设计要求控制进场材料和设备的质量，严把施工质量关，强化各工序质量管控，减少因质量问题导致的返工或修补。加强对已完工工程的成品保护，避免二次损坏。</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9.</w:t>
      </w:r>
      <w:r>
        <w:rPr>
          <w:rFonts w:hint="eastAsia" w:ascii="仿宋_GB2312" w:hAnsi="Calibri" w:eastAsia="仿宋_GB2312" w:cs="仿宋_GB2312"/>
          <w:sz w:val="28"/>
          <w:szCs w:val="28"/>
        </w:rPr>
        <w:t>提高临时设施和周转材料的重复利用率。施工现场办公用房、宿舍、围挡、大门、工具棚、安全防护栏杆等推广采用重复利用率高的标准化设施。鼓励采用工具式脚手架和模板支撑体系，推广应用铝模板、金属防护网、金属通道板、拼装式道路板等周转材料。鼓励施工单位在一定区域范围内统筹临时设施和周转材料的调配。</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10.</w:t>
      </w:r>
      <w:r>
        <w:rPr>
          <w:rFonts w:hint="eastAsia" w:ascii="仿宋_GB2312" w:hAnsi="Calibri" w:eastAsia="仿宋_GB2312" w:cs="仿宋_GB2312"/>
          <w:sz w:val="28"/>
          <w:szCs w:val="28"/>
        </w:rPr>
        <w:t>推行临时设施和永久性设施的结合利用。施工单位应充分考虑施工用消防立管、消防水池、照明线路、道路、围挡等与永久性设施的结合利用，减少因拆除临时设施产生的建筑垃圾。</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11.</w:t>
      </w:r>
      <w:r>
        <w:rPr>
          <w:rFonts w:hint="eastAsia" w:ascii="仿宋_GB2312" w:hAnsi="Calibri" w:eastAsia="仿宋_GB2312" w:cs="仿宋_GB2312"/>
          <w:sz w:val="28"/>
          <w:szCs w:val="28"/>
        </w:rPr>
        <w:t>实行建筑垃圾分类管理。施工单位应建立建筑垃圾分类收集与存放管理制度，实行分类收集、分类存放、分类处置。鼓励以末端处置为导向对建筑垃圾细化分类。严禁将危险废物和生活垃圾混入建筑垃圾。</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12.</w:t>
      </w:r>
      <w:r>
        <w:rPr>
          <w:rFonts w:hint="eastAsia" w:ascii="仿宋_GB2312" w:hAnsi="Calibri" w:eastAsia="仿宋_GB2312" w:cs="仿宋_GB2312"/>
          <w:sz w:val="28"/>
          <w:szCs w:val="28"/>
        </w:rPr>
        <w:t>引导施工现场建筑垃圾再利用。施工单位应充分利用混凝土、钢筋、模板、珍珠岩保温材料等余料，在满足质量要求的前提下，根据实际需求加工制作成各类工程材料，实行循环利用。施工现场不具备就地利用条件的，应按规定及时转运到建筑垃圾处置场所进行资源化处置和再利用。</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13.</w:t>
      </w:r>
      <w:r>
        <w:rPr>
          <w:rFonts w:hint="eastAsia" w:ascii="仿宋_GB2312" w:hAnsi="Calibri" w:eastAsia="仿宋_GB2312" w:cs="仿宋_GB2312"/>
          <w:sz w:val="28"/>
          <w:szCs w:val="28"/>
        </w:rPr>
        <w:t>减少施工现场建筑垃圾排放。施工单位应实时统计并监控建筑垃圾产生量，及时采取针对性措施降低建筑垃圾排放量。鼓励采用现场泥沙分离、泥浆脱水预处理等工艺，减少工程渣土和工程泥浆排放。</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三、组织保障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加强统筹管理。各省级住房和城乡建设主管部门要完善建筑垃圾减量化工作机制和政策措施，将建筑垃圾减量化纳入本地绿色发展和生态文明建设体系。地方各级环境卫生主管部门要统筹建立健全建筑垃圾治理体系，进一步加强建筑垃圾收集、运输、资源化利用和处置管理，推进建筑垃圾治理能力提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（二）积极引导支持。地方各级住房和城乡建设主管部门要鼓励建筑垃圾减量化技术和管理创新，支持创新成果快速转化应用。确定建筑垃圾排放限额，对少排或零排放项目建立相应激励机制。</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（三）完善标准体系。各省级住房和城乡建设主管部门要加快制定完善施工现场建筑垃圾分类、收集、统计、处置和再生利用等相关标准，为减量化工作提供技术支撑。</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加强督促指导。地方各级住房和城乡建设主管部门要将建筑垃圾减量化纳入文明施工内容，鼓励建立施工现场建筑垃圾排放量公示制度。落实建筑垃圾减量化指导手册，开展建筑垃圾减量化项目示范引领，促进建筑垃圾减量化经验交流。</w:t>
      </w:r>
    </w:p>
    <w:p>
      <w:pPr>
        <w:spacing w:line="520" w:lineRule="exact"/>
        <w:ind w:firstLine="570"/>
        <w:rPr>
          <w:rFonts w:ascii="仿宋_GB2312" w:hAnsi="Calibri" w:eastAsia="仿宋_GB2312"/>
          <w:sz w:val="28"/>
          <w:szCs w:val="28"/>
        </w:rPr>
      </w:pPr>
      <w:r>
        <w:rPr>
          <w:rFonts w:hint="eastAsia" w:ascii="仿宋_GB2312" w:hAnsi="Calibri" w:eastAsia="仿宋_GB2312" w:cs="仿宋_GB2312"/>
          <w:sz w:val="28"/>
          <w:szCs w:val="28"/>
        </w:rPr>
        <w:t>（五）加大宣传力度。地方各级住房和城乡建设主管部门要充分发挥舆论导向和媒体监督作用，广泛宣传建筑垃圾减量化的重要性，普及建筑垃圾减量化和现场再利用的基础知识，增强参建单位和人员的资源节约意识、环保意识。</w:t>
      </w:r>
    </w:p>
    <w:p>
      <w:pPr>
        <w:spacing w:line="520" w:lineRule="exact"/>
        <w:ind w:firstLine="570"/>
        <w:rPr>
          <w:rFonts w:ascii="仿宋_GB2312" w:hAnsi="Calibri" w:eastAsia="仿宋_GB2312"/>
          <w:sz w:val="28"/>
          <w:szCs w:val="28"/>
        </w:rPr>
      </w:pPr>
    </w:p>
    <w:p>
      <w:pPr>
        <w:spacing w:line="480" w:lineRule="exact"/>
        <w:jc w:val="center"/>
        <w:rPr>
          <w:rFonts w:ascii="黑体" w:eastAsia="黑体"/>
          <w:b/>
          <w:bCs/>
          <w:color w:val="000000"/>
          <w:sz w:val="32"/>
          <w:szCs w:val="32"/>
        </w:rPr>
      </w:pPr>
      <w:r>
        <w:rPr>
          <w:rFonts w:ascii="黑体" w:eastAsia="黑体" w:cs="黑体"/>
          <w:b/>
          <w:bCs/>
          <w:color w:val="000000"/>
          <w:sz w:val="32"/>
          <w:szCs w:val="32"/>
        </w:rPr>
        <w:t xml:space="preserve"> [</w:t>
      </w:r>
      <w:r>
        <w:rPr>
          <w:rFonts w:hint="eastAsia" w:ascii="黑体" w:eastAsia="黑体" w:cs="黑体"/>
          <w:b/>
          <w:bCs/>
          <w:color w:val="000000"/>
          <w:sz w:val="32"/>
          <w:szCs w:val="32"/>
        </w:rPr>
        <w:t>最高院</w:t>
      </w:r>
      <w:r>
        <w:rPr>
          <w:rFonts w:ascii="黑体" w:eastAsia="黑体" w:cs="黑体"/>
          <w:b/>
          <w:bCs/>
          <w:color w:val="000000"/>
          <w:sz w:val="32"/>
          <w:szCs w:val="32"/>
        </w:rPr>
        <w:t>]</w:t>
      </w:r>
      <w:r>
        <w:rPr>
          <w:rFonts w:hint="eastAsia" w:ascii="黑体" w:eastAsia="黑体" w:cs="黑体"/>
          <w:b/>
          <w:bCs/>
          <w:color w:val="000000"/>
          <w:sz w:val="32"/>
          <w:szCs w:val="32"/>
        </w:rPr>
        <w:t>印发《关于依法妥善审理涉新冠肺炎疫情民事案件</w:t>
      </w:r>
    </w:p>
    <w:p>
      <w:pPr>
        <w:spacing w:line="480" w:lineRule="exact"/>
        <w:jc w:val="center"/>
        <w:rPr>
          <w:rFonts w:ascii="黑体" w:eastAsia="黑体"/>
          <w:b/>
          <w:bCs/>
          <w:color w:val="000000"/>
          <w:sz w:val="32"/>
          <w:szCs w:val="32"/>
        </w:rPr>
      </w:pPr>
      <w:r>
        <w:rPr>
          <w:rFonts w:hint="eastAsia" w:ascii="黑体" w:eastAsia="黑体" w:cs="黑体"/>
          <w:b/>
          <w:bCs/>
          <w:color w:val="000000"/>
          <w:sz w:val="32"/>
          <w:szCs w:val="32"/>
        </w:rPr>
        <w:t>若干问题的指导意见（二）》的通知</w:t>
      </w:r>
      <w:r>
        <w:rPr>
          <w:rFonts w:ascii="黑体" w:eastAsia="黑体" w:cs="黑体"/>
          <w:b/>
          <w:bCs/>
          <w:color w:val="000000"/>
          <w:sz w:val="32"/>
          <w:szCs w:val="32"/>
        </w:rPr>
        <w:t xml:space="preserve"> </w:t>
      </w:r>
      <w:r>
        <w:rPr>
          <w:rFonts w:hint="eastAsia" w:ascii="黑体" w:eastAsia="黑体" w:cs="黑体"/>
          <w:b/>
          <w:bCs/>
          <w:color w:val="000000"/>
          <w:sz w:val="32"/>
          <w:szCs w:val="32"/>
        </w:rPr>
        <w:t>法发〔</w:t>
      </w:r>
      <w:r>
        <w:rPr>
          <w:rFonts w:ascii="黑体" w:eastAsia="黑体" w:cs="黑体"/>
          <w:b/>
          <w:bCs/>
          <w:color w:val="000000"/>
          <w:sz w:val="32"/>
          <w:szCs w:val="32"/>
        </w:rPr>
        <w:t>2020</w:t>
      </w:r>
      <w:r>
        <w:rPr>
          <w:rFonts w:hint="eastAsia" w:ascii="黑体" w:eastAsia="黑体" w:cs="黑体"/>
          <w:b/>
          <w:bCs/>
          <w:color w:val="000000"/>
          <w:sz w:val="32"/>
          <w:szCs w:val="32"/>
        </w:rPr>
        <w:t>〕</w:t>
      </w:r>
      <w:r>
        <w:rPr>
          <w:rFonts w:ascii="黑体" w:eastAsia="黑体" w:cs="黑体"/>
          <w:b/>
          <w:bCs/>
          <w:color w:val="000000"/>
          <w:sz w:val="32"/>
          <w:szCs w:val="32"/>
        </w:rPr>
        <w:t>17</w:t>
      </w:r>
      <w:r>
        <w:rPr>
          <w:rFonts w:hint="eastAsia" w:ascii="黑体" w:eastAsia="黑体" w:cs="黑体"/>
          <w:b/>
          <w:bCs/>
          <w:color w:val="000000"/>
          <w:sz w:val="32"/>
          <w:szCs w:val="3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各省、自治区、直辖市高级人民法院，解放军军事法院，新疆维吾尔自治区高级人民法院生产建设兵团分院：</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现将《最高人民法院关于依法妥善审理涉新冠肺炎疫情民事案件若干问题的指导意见（二）》印发给你们，请认真贯彻执行。</w:t>
      </w:r>
    </w:p>
    <w:p>
      <w:pPr>
        <w:spacing w:line="520" w:lineRule="exact"/>
        <w:jc w:val="right"/>
        <w:rPr>
          <w:rFonts w:ascii="仿宋_GB2312" w:hAnsi="Calibri" w:eastAsia="仿宋_GB2312"/>
          <w:sz w:val="28"/>
          <w:szCs w:val="28"/>
        </w:rPr>
      </w:pPr>
      <w:r>
        <w:rPr>
          <w:rFonts w:hint="eastAsia" w:ascii="仿宋_GB2312" w:hAnsi="Calibri" w:eastAsia="仿宋_GB2312" w:cs="仿宋_GB2312"/>
          <w:sz w:val="28"/>
          <w:szCs w:val="28"/>
        </w:rPr>
        <w:t>最高人民法院</w:t>
      </w:r>
    </w:p>
    <w:p>
      <w:pPr>
        <w:spacing w:line="520" w:lineRule="exact"/>
        <w:jc w:val="right"/>
        <w:rPr>
          <w:rFonts w:ascii="仿宋_GB2312" w:hAnsi="Calibri" w:eastAsia="仿宋_GB2312"/>
          <w:sz w:val="28"/>
          <w:szCs w:val="28"/>
        </w:rPr>
      </w:pP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5</w:t>
      </w:r>
      <w:r>
        <w:rPr>
          <w:rFonts w:hint="eastAsia" w:ascii="仿宋_GB2312" w:hAnsi="Calibri" w:eastAsia="仿宋_GB2312" w:cs="仿宋_GB2312"/>
          <w:sz w:val="28"/>
          <w:szCs w:val="28"/>
        </w:rPr>
        <w:t>月</w:t>
      </w:r>
      <w:r>
        <w:rPr>
          <w:rFonts w:ascii="仿宋_GB2312" w:hAnsi="Calibri" w:eastAsia="仿宋_GB2312" w:cs="仿宋_GB2312"/>
          <w:sz w:val="28"/>
          <w:szCs w:val="28"/>
        </w:rPr>
        <w:t>15</w:t>
      </w:r>
      <w:r>
        <w:rPr>
          <w:rFonts w:hint="eastAsia" w:ascii="仿宋_GB2312" w:hAnsi="Calibri" w:eastAsia="仿宋_GB2312" w:cs="仿宋_GB2312"/>
          <w:sz w:val="28"/>
          <w:szCs w:val="28"/>
        </w:rPr>
        <w:t>日</w:t>
      </w:r>
    </w:p>
    <w:p>
      <w:pPr>
        <w:spacing w:line="520" w:lineRule="exact"/>
        <w:jc w:val="center"/>
        <w:rPr>
          <w:rFonts w:ascii="仿宋_GB2312" w:hAnsi="Calibri" w:eastAsia="仿宋_GB2312"/>
          <w:sz w:val="28"/>
          <w:szCs w:val="28"/>
        </w:rPr>
      </w:pPr>
      <w:r>
        <w:rPr>
          <w:rFonts w:hint="eastAsia" w:ascii="仿宋_GB2312" w:hAnsi="Calibri" w:eastAsia="仿宋_GB2312" w:cs="仿宋_GB2312"/>
          <w:sz w:val="28"/>
          <w:szCs w:val="28"/>
        </w:rPr>
        <w:t>关于依法妥善审理涉新冠肺炎疫情民事案件若干问题的指导意见（二）</w:t>
      </w:r>
    </w:p>
    <w:p>
      <w:pPr>
        <w:spacing w:line="520" w:lineRule="exact"/>
        <w:rPr>
          <w:rFonts w:ascii="仿宋_GB2312" w:hAnsi="Calibri" w:eastAsia="仿宋_GB2312"/>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为进一步贯彻落实党中央关于统筹推进新冠肺炎疫情防控和经济社会发展工作部署，扎实做好“六稳”工作，落实“六保”任务，指导各级人民法院依法妥善审理涉新冠肺炎疫情合同、金融、破产等民事案件，提出如下指导意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一、关于合同案件的审理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疫情或者疫情防控措施导致当事人不能按照约定的期限履行买卖合同或者履行成本增加，继续履行不影响合同目的实现，当事人请求解除合同的，人民法院不予支持。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疫情或者疫情防控措施导致出卖人不能按照约定的期限完成订单或者交付货物，继续履行不能实现买受人的合同目的，买受人请求解除合同，返还已经支付的预付款或者定金的，人民法院应予支持；买受人请求出卖人承担违约责任的，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买卖合同能够继续履行，但疫情或者疫情防控措施导致人工、原材料、物流等履约成本显著增加，或者导致产品大幅降价，继续履行合同对一方当事人明显不公平，受不利影响的当事人请求调整价款的，人民法院应当结合案件的实际情况，根据公平原则调整价款。疫情或者疫情防控措施导致出卖人不能按照约定的期限交货，或者导致买受人不能按照约定的期限付款，当事人请求变更履行期限的，人民法院应当结合案件的实际情况，根据公平原则变更履行期限。</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已经通过调整价款、变更履行期限等方式变更合同，当事人请求对方承担违约责任的，人民法院不予支持。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出卖人与买受人订立防疫物资买卖合同后，将防疫物资高价转卖他人致使合同不能履行，买受人请求将出卖人所得利润作为损失赔偿数额的，人民法院应予支持。因政府依法调用或者临时征用防疫物资，致使出卖人不能履行买卖合同，买受人请求出卖人承担违约责任的，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4.</w:t>
      </w:r>
      <w:r>
        <w:rPr>
          <w:rFonts w:hint="eastAsia" w:ascii="仿宋_GB2312" w:hAnsi="Calibri" w:eastAsia="仿宋_GB2312" w:cs="仿宋_GB2312"/>
          <w:sz w:val="28"/>
          <w:szCs w:val="28"/>
        </w:rPr>
        <w:t>疫情或者疫情防控措施导致出卖人不能按照商品房买卖合同约定的期限交付房屋，或者导致买受人不能按照约定的期限支付购房款，当事人请求解除合同，由对方当事人承担违约责任的，人民法院不予支持。但是，当事人请求变更履行期限的，人民法院应当结合案件的实际情况，根据公平原则进行变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5.</w:t>
      </w:r>
      <w:r>
        <w:rPr>
          <w:rFonts w:hint="eastAsia" w:ascii="仿宋_GB2312" w:hAnsi="Calibri" w:eastAsia="仿宋_GB2312" w:cs="仿宋_GB2312"/>
          <w:sz w:val="28"/>
          <w:szCs w:val="28"/>
        </w:rPr>
        <w:t>承租房屋用于经营，疫情或者疫情防控措施导致承租人资金周转困难或者营业收入明显减少，出租人以承租人没有按照约定的期限支付租金为由请求解除租赁合同，由承租人承担违约责任的，人民法院不予支持。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为展览、会议、庙会等特定目的而预订的临时场地租赁合同，疫情或者疫情防控措施导致该活动取消，承租人请求解除租赁合同，返还预付款或者定金的，人民法院应予支持。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6.</w:t>
      </w:r>
      <w:r>
        <w:rPr>
          <w:rFonts w:hint="eastAsia" w:ascii="仿宋_GB2312" w:hAnsi="Calibri" w:eastAsia="仿宋_GB2312" w:cs="仿宋_GB2312"/>
          <w:sz w:val="28"/>
          <w:szCs w:val="28"/>
        </w:rPr>
        <w:t>承租国有企业房屋以及政府部门、高校、研究院所等行政事业单位房屋用于经营，受疫情或者疫情防控措施影响出现经营困难的服务业小微企业、个体工商户等承租人，请求出租人按照国家有关政策免除一定期限内的租金的，人民法院应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承租非国有房屋用于经营，疫情或者疫情防控措施导致承租人没有营业收入或者营业收入明显减少，继续按照原租赁合同支付租金对其明显不公平，承租人请求减免租金、延长租期或者延期支付租金的，人民法院可以引导当事人参照有关租金减免的政策进行调解；调解不成的，应当结合案件的实际情况，根据公平原则变更合同。</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7.</w:t>
      </w:r>
      <w:r>
        <w:rPr>
          <w:rFonts w:hint="eastAsia" w:ascii="仿宋_GB2312" w:hAnsi="Calibri" w:eastAsia="仿宋_GB2312" w:cs="仿宋_GB2312"/>
          <w:sz w:val="28"/>
          <w:szCs w:val="28"/>
        </w:rPr>
        <w:t>疫情或者疫情防控措施导致承包方未能按照约定的工期完成施工，发包方请求承包方承担违约责任的，人民法院不予支持；承包方请求延长工期的，人民法院应当视疫情或者疫情防控措施对合同履行的影响程度酌情予以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疫情或者疫情防控措施导致人工、建材等成本大幅上涨，或者使承包方遭受人工费、设备租赁费等损失，继续履行合同对承包方明显不公平，承包方请求调整价款的，人民法院应当结合案件的实际情况，根据公平原则进行调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8.</w:t>
      </w:r>
      <w:r>
        <w:rPr>
          <w:rFonts w:hint="eastAsia" w:ascii="仿宋_GB2312" w:hAnsi="Calibri" w:eastAsia="仿宋_GB2312" w:cs="仿宋_GB2312"/>
          <w:sz w:val="28"/>
          <w:szCs w:val="28"/>
        </w:rPr>
        <w:t>当事人订立的线下培训合同，受疫情或者疫情防控措施影响不能进行线下培训，能够通过线上培训、变更培训期限等方式实现合同目的，接受培训方请求解除的，人民法院不予支持；当事人请求通过线上培训、变更培训期限、调整培训费用等方式继续履行合同的，人民法院应当结合案件的实际情况，根据公平原则变更合同。</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受疫情或者疫情防控措施影响不能进行线下培训，通过线上培训方式不能实现合同目的，或者案件实际情况表明不宜进行线上培训，接受培训方请求解除合同的，人民法院应予支持。具有时限性要求的培训合同，变更培训期限不能实现合同目的，接受培训方请求解除合同的，人民法院应予支持。培训合同解除后，已经预交的培训费，应当根据接受培训的课时等情况全部或者部分予以返还。</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9.</w:t>
      </w:r>
      <w:r>
        <w:rPr>
          <w:rFonts w:hint="eastAsia" w:ascii="仿宋_GB2312" w:hAnsi="Calibri" w:eastAsia="仿宋_GB2312" w:cs="仿宋_GB2312"/>
          <w:sz w:val="28"/>
          <w:szCs w:val="28"/>
        </w:rPr>
        <w:t>限制民事行为能力人未经其监护人同意，参与网络付费游戏或者网络直播平台“打赏”等方式支出与其年龄、智力不相适应的款项，监护人请求网络服务提供者返还该款项的，人民法院应予支持。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二、关于金融案件的审理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10.</w:t>
      </w:r>
      <w:r>
        <w:rPr>
          <w:rFonts w:hint="eastAsia" w:ascii="仿宋_GB2312" w:hAnsi="Calibri" w:eastAsia="仿宋_GB2312" w:cs="仿宋_GB2312"/>
          <w:sz w:val="28"/>
          <w:szCs w:val="28"/>
        </w:rPr>
        <w:t>对于受疫情或者疫情防控措施影响较大的行业，以及具有发展前景但受疫情或者疫情防控措施影响暂遇困难的企业特别是中小微企业所涉金融借款纠纷，人民法院在审理中要充分考虑中国人民银行等五部门发布的《关于进一步强化金融支持防控新型冠状病毒感染肺炎疫情的通知》等系列金融支持政策：对金融机构违反金融支持政策提出的借款提前到期、单方解除合同等诉讼主张，人民法院不予支持；对金融机构收取的利息以及以咨询费、担保费等其他费用为名收取的变相利息，要严格依据国家再贷款再贴现等专项信贷优惠利率政策的规定，对超出部分不予支持；对因感染新冠肺炎住院治疗或者隔离人员、疫情防控需要隔离观察人员、参加疫情防控工作人员以及受疫情或者疫情防控措施影响暂时失去收入来源的人员所涉住房按揭、信用卡等个人还贷纠纷，人民法院应当结合案件的实际情况，根据公平原则变更还款期限。</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11.</w:t>
      </w:r>
      <w:r>
        <w:rPr>
          <w:rFonts w:hint="eastAsia" w:ascii="仿宋_GB2312" w:hAnsi="Calibri" w:eastAsia="仿宋_GB2312" w:cs="仿宋_GB2312"/>
          <w:sz w:val="28"/>
          <w:szCs w:val="28"/>
        </w:rPr>
        <w:t>防疫物资生产经营企业以其生产设备、原材料、半成品、产品等动产设定浮动抵押，抵押权人依照《中华人民共和国民事诉讼法》第一百九十六条的规定申请实现担保物权的，人民法院受理申请后，被申请人或者利害关系人能够证明实现抵押权将危及企业防疫物资生产经营的，可待疫情或者疫情防控措施影响因素消除后再行处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12.</w:t>
      </w:r>
      <w:r>
        <w:rPr>
          <w:rFonts w:hint="eastAsia" w:ascii="仿宋_GB2312" w:hAnsi="Calibri" w:eastAsia="仿宋_GB2312" w:cs="仿宋_GB2312"/>
          <w:sz w:val="28"/>
          <w:szCs w:val="28"/>
        </w:rPr>
        <w:t>对于因疫情防控期间证券市场价格波动引发的股票质押和融资融券纠纷，应当区分不同情形处理：对于债权人为证券公司的场内股票质押和融资融券纠纷，人民法院可以参照中国证监会发布的有关政策，引导证券公司按照政策与不同客户群体协商解决纠纷；协商不成的，对于客户要求证券公司就违规强行平仓导致损失扩大部分承担赔偿责任的诉讼请求，依法予以支持。对于债权人为其他金融机构的场外股票质押纠纷，人民法院应当充分考虑股票质权实现对上市公司正常经营的影响，加强政策引导和各方利益协调，努力降低对证券市场的影响。</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13.</w:t>
      </w:r>
      <w:r>
        <w:rPr>
          <w:rFonts w:hint="eastAsia" w:ascii="仿宋_GB2312" w:hAnsi="Calibri" w:eastAsia="仿宋_GB2312" w:cs="仿宋_GB2312"/>
          <w:sz w:val="28"/>
          <w:szCs w:val="28"/>
        </w:rPr>
        <w:t>人民法院审理因上市公司虚假陈述侵权民事赔偿案件，在认定投资者损失数额时，应当根据《最高人民法院关于审理证券市场因虚假陈述引发的民事赔偿案件的若干规定》第十九条第四项的规定，区分疫情或者疫情防控措施影响因素和虚假陈述因素所导致的股价下跌损失，依法公平、合理确定损失赔偿范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14.</w:t>
      </w:r>
      <w:r>
        <w:rPr>
          <w:rFonts w:hint="eastAsia" w:ascii="仿宋_GB2312" w:hAnsi="Calibri" w:eastAsia="仿宋_GB2312" w:cs="仿宋_GB2312"/>
          <w:sz w:val="28"/>
          <w:szCs w:val="28"/>
        </w:rPr>
        <w:t>对于批发零售、住宿餐饮、物流运输、文化旅游等受疫情或者疫情防控措施影响严重的公司或者其股东、实际控制人与投资方因履行“业绩对赌协议”引发的纠纷，人民法院应当充分考虑疫情或者疫情防控措施对目标公司业绩影响的实际情况，引导双方当事人协商变更或者解除合同。当事人协商不成，按约定的业绩标准或者业绩补偿数额继续履行对一方当事人明显不公平的，人民法院应当结合案件的实际情况，根据公平原则变更或者解除合同；解除合同的，应当依法合理分配因合同解除造成的损失。</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“业绩对赌协议”未明确约定公司中小股东与控股股东或者实际控制人就业绩补偿承担连带责任的，对投资方要求中小股东与公司、控制股东或实际控制人共同向其承担连带责任的诉讼请求，人民法院不予支持。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15.</w:t>
      </w:r>
      <w:r>
        <w:rPr>
          <w:rFonts w:hint="eastAsia" w:ascii="仿宋_GB2312" w:hAnsi="Calibri" w:eastAsia="仿宋_GB2312" w:cs="仿宋_GB2312"/>
          <w:sz w:val="28"/>
          <w:szCs w:val="28"/>
        </w:rPr>
        <w:t>在审理与疫情或者疫情防控措施相关的医疗保险合同纠纷案件时，对于保险人提出的该疾病不属于商业医疗保险合同约定的重大疾病范围或者保险事故的抗辩，人民法院不予支持。感染新冠肺炎的被保险人因疫情或者疫情防控措施未在保险合同约定的医疗服务机构接受治疗发生的约定费用，被保险人、受益人依据保险合同的约定向保险人请求赔付的，人民法院应予支持。被保险人因其他疾病在非保险合同约定的医疗服务机构接受治疗发生的约定费用，确系疫情或者疫情防控措施等客观原因造成，被保险人、受益人请求赔付的，人民法院应予支持。被保险人、受益人根据疫情防控期间保险公司赠与的医疗保险合同的约定请求赔付的，人民法院应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16.</w:t>
      </w:r>
      <w:r>
        <w:rPr>
          <w:rFonts w:hint="eastAsia" w:ascii="仿宋_GB2312" w:hAnsi="Calibri" w:eastAsia="仿宋_GB2312" w:cs="仿宋_GB2312"/>
          <w:sz w:val="28"/>
          <w:szCs w:val="28"/>
        </w:rPr>
        <w:t>在审理融资租赁公司与医疗服务机构之间开展的医疗设备融资租赁业务所引发的民事纠纷案件时，对于医疗服务机构以融资租赁公司未取得医疗器械销售行政许可为由主张融资租赁合同无效的抗辩，人民法院不予支持。</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三、关于破产案件的审理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17.</w:t>
      </w:r>
      <w:r>
        <w:rPr>
          <w:rFonts w:hint="eastAsia" w:ascii="仿宋_GB2312" w:hAnsi="Calibri" w:eastAsia="仿宋_GB2312" w:cs="仿宋_GB2312"/>
          <w:sz w:val="28"/>
          <w:szCs w:val="28"/>
        </w:rPr>
        <w:t>企业受疫情或者疫情防控措施影响不能清偿到期债务，债权人提出破产申请的，人民法院应当积极引导债务人与债权人进行协商，通过采取分期付款、延长债务履行期限、变更合同价款等方式消除破产申请原因，或者引导债务人通过庭外调解、庭外重组、预重整等方式化解债务危机，实现对企业尽早挽救。</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18.</w:t>
      </w:r>
      <w:r>
        <w:rPr>
          <w:rFonts w:hint="eastAsia" w:ascii="仿宋_GB2312" w:hAnsi="Calibri" w:eastAsia="仿宋_GB2312" w:cs="仿宋_GB2312"/>
          <w:sz w:val="28"/>
          <w:szCs w:val="28"/>
        </w:rPr>
        <w:t>人民法院在审查企业是否符合破产受理条件时，要注意审查企业陷入困境是否因疫情或者疫情防控措施所致而进行区别对待。对于疫情爆发前经营状况良好，因疫情或者疫情防控措施影响而导致经营、资金周转困难无法清偿到期债务的企业，要结合企业持续经营能力、所在行业的发展前景等因素全面判定企业清偿能力，防止简单依据特定时期的企业资金流和资产负债情况，裁定原本具备生存能力的企业进入破产程序。对于疫情爆发前已经陷入困境，因疫情或者疫情防控措施导致生产经营进一步恶化，确已具备破产原因的企业，应当依法及时受理破产申请，实现市场优胜劣汰和资源重新配置。</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19.</w:t>
      </w:r>
      <w:r>
        <w:rPr>
          <w:rFonts w:hint="eastAsia" w:ascii="仿宋_GB2312" w:hAnsi="Calibri" w:eastAsia="仿宋_GB2312" w:cs="仿宋_GB2312"/>
          <w:sz w:val="28"/>
          <w:szCs w:val="28"/>
        </w:rPr>
        <w:t>要进一步推进执行与破产程序的衔接。在执行程序中发现被执行人因疫情影响具备破产原因但具有挽救价值的，应当通过释明等方式引导债权人或者被执行人将案件转入破产审查，合理运用企业破产法规定的执行中止、保全解除、停息止付等制度，有效保全企业营运价值，为企业再生赢得空间。同时积极引导企业适用破产重整、和解程序，全面解决企业债务危机，公平有序清偿全体债权人，实现对困境企业的保护和拯救。</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执行法院作出移送决定前已经启动的司法拍卖程序，在移送决定作出后可以继续进行。拍卖成交的，拍卖标的不再纳入破产程序中债务人财产范围，但是拍卖所得价款应当按照破产程序依法进行分配。执行程序中已经作出资产评估报告或者审计报告，且评估结论在有效期内或者审计结论满足破产案件需要的，可以在破产程序中继续使用。</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20.</w:t>
      </w:r>
      <w:r>
        <w:rPr>
          <w:rFonts w:hint="eastAsia" w:ascii="仿宋_GB2312" w:hAnsi="Calibri" w:eastAsia="仿宋_GB2312" w:cs="仿宋_GB2312"/>
          <w:sz w:val="28"/>
          <w:szCs w:val="28"/>
        </w:rPr>
        <w:t>在破产重整程序中，对于因疫情或者疫情防控措施影响而无法招募投资人、开展尽职调查以及协商谈判等原因不能按期提出重整计划草案的，人民法院可以依债务人或者管理人的申请，根据疫情或者疫情防控措施对重整工作的实际影响程度，合理确定不应当计入企业破产法第七十九条规定期限的期间，但一般不得超过六个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对于重整计划或者和解协议已经进入执行阶段，但债务人因疫情或者疫情防控措施影响而难以执行的，人民法院要积极引导当事人充分协商予以变更。协商变更重整计划或者和解协议的，按照《全国法院破产审判工作会议纪要》第</w:t>
      </w:r>
      <w:r>
        <w:rPr>
          <w:rFonts w:ascii="仿宋_GB2312" w:hAnsi="Calibri" w:eastAsia="仿宋_GB2312" w:cs="仿宋_GB2312"/>
          <w:sz w:val="28"/>
          <w:szCs w:val="28"/>
        </w:rPr>
        <w:t>19</w:t>
      </w:r>
      <w:r>
        <w:rPr>
          <w:rFonts w:hint="eastAsia" w:ascii="仿宋_GB2312" w:hAnsi="Calibri" w:eastAsia="仿宋_GB2312" w:cs="仿宋_GB2312"/>
          <w:sz w:val="28"/>
          <w:szCs w:val="28"/>
        </w:rPr>
        <w:t>条、第</w:t>
      </w:r>
      <w:r>
        <w:rPr>
          <w:rFonts w:ascii="仿宋_GB2312" w:hAnsi="Calibri" w:eastAsia="仿宋_GB2312" w:cs="仿宋_GB2312"/>
          <w:sz w:val="28"/>
          <w:szCs w:val="28"/>
        </w:rPr>
        <w:t>20</w:t>
      </w:r>
      <w:r>
        <w:rPr>
          <w:rFonts w:hint="eastAsia" w:ascii="仿宋_GB2312" w:hAnsi="Calibri" w:eastAsia="仿宋_GB2312" w:cs="仿宋_GB2312"/>
          <w:sz w:val="28"/>
          <w:szCs w:val="28"/>
        </w:rPr>
        <w:t>条的规定进行表决并提交法院批准。但是，仅涉及执行期限变更的，人民法院可以依债务人或债权人的申请直接作出裁定，延长的期限一般不得超过六个月。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21.</w:t>
      </w:r>
      <w:r>
        <w:rPr>
          <w:rFonts w:hint="eastAsia" w:ascii="仿宋_GB2312" w:hAnsi="Calibri" w:eastAsia="仿宋_GB2312" w:cs="仿宋_GB2312"/>
          <w:sz w:val="28"/>
          <w:szCs w:val="28"/>
        </w:rPr>
        <w:t>要切实保障债权人的实体权利和程序权利，减少疫情或者疫情防控措施对债权人权利行使造成的不利影响。受疫情或者疫情防控措施影响案件的债权申报期限，可以根据具体情况采取法定最长期限。债权人确因疫情或者疫情防控措施影响无法按时申报债权或者提供有关证据资料，应当在障碍消除后十日内补充申报，补充申报人可以不承担审查和确认补充申报债权的费用。因疫情或者疫情防控措施影响，确有必要延期组织听证、召开债权人会议的，应当依法办理有关延期手续，管理人应当提前十五日告知债权人等相关主体，并做好解释说明工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22.</w:t>
      </w:r>
      <w:r>
        <w:rPr>
          <w:rFonts w:hint="eastAsia" w:ascii="仿宋_GB2312" w:hAnsi="Calibri" w:eastAsia="仿宋_GB2312" w:cs="仿宋_GB2312"/>
          <w:sz w:val="28"/>
          <w:szCs w:val="28"/>
        </w:rPr>
        <w:t>要最大限度维护债务人的持续经营能力，充分发挥共益债务融资的制度功能，为持续经营提供资金支持。债务人企业具有继续经营的能力或者具备生产经营防疫物资条件的，人民法院应当积极引导和支持管理人或者债务人根据企业破产法第二十六条、第六十一条的规定继续债务人的营业，在保障债权人利益的基础上，选择适当的经营管理模式，充分运用府院协调机制，发掘、释放企业产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坚持财产处置的价值最大化原则，积极引导管理人充分评估疫情或者疫情防控措施对资产处置价格的影响，准确把握处置时机和处置方式，避免因资产价值的不当贬损而影响债权人利益。</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23.</w:t>
      </w:r>
      <w:r>
        <w:rPr>
          <w:rFonts w:hint="eastAsia" w:ascii="仿宋_GB2312" w:hAnsi="Calibri" w:eastAsia="仿宋_GB2312" w:cs="仿宋_GB2312"/>
          <w:sz w:val="28"/>
          <w:szCs w:val="28"/>
        </w:rPr>
        <w:t>疫情防控期间，要根据《最高人民法院关于推进破产案件依法高效审理的意见》的要求，进一步推进信息化手段在破产公告通知、债权申报、债权人会议召开、债务人财产查询和处置、引进投资人等方面的深度应用，在加大信息公开和信息披露力度、依法保障债权人的知情权和参与权的基础上，助力疫情防控工作，进一步降低破产程序成本，提升破产程序效率。</w:t>
      </w:r>
      <w:r>
        <w:rPr>
          <w:rFonts w:ascii="仿宋_GB2312" w:hAnsi="Calibri" w:eastAsia="仿宋_GB2312" w:cs="仿宋_GB2312"/>
          <w:sz w:val="28"/>
          <w:szCs w:val="28"/>
        </w:rPr>
        <w:t xml:space="preserve">  </w:t>
      </w:r>
    </w:p>
    <w:p>
      <w:pPr>
        <w:spacing w:line="520" w:lineRule="exact"/>
      </w:pPr>
      <w:r>
        <w:rPr>
          <w:rFonts w:hint="eastAsia" w:cs="宋体"/>
        </w:rPr>
        <w:t>　</w:t>
      </w:r>
    </w:p>
    <w:p>
      <w:pPr>
        <w:pStyle w:val="4"/>
        <w:widowControl w:val="0"/>
        <w:snapToGrid w:val="0"/>
        <w:spacing w:line="240" w:lineRule="atLeast"/>
        <w:rPr>
          <w:rFonts w:ascii="黑体" w:cs="Times New Roman"/>
          <w:color w:val="000000"/>
        </w:rPr>
      </w:pPr>
      <w:r>
        <w:rPr>
          <w:rFonts w:hint="eastAsia" w:cs="黑体"/>
        </w:rPr>
        <w:t>【公示公告】</w:t>
      </w:r>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2020</w:t>
      </w:r>
      <w:r>
        <w:rPr>
          <w:rFonts w:hint="eastAsia" w:ascii="黑体" w:eastAsia="黑体" w:cs="黑体"/>
          <w:b/>
          <w:bCs/>
          <w:color w:val="000000"/>
          <w:sz w:val="32"/>
          <w:szCs w:val="32"/>
        </w:rPr>
        <w:t>年</w:t>
      </w:r>
      <w:r>
        <w:rPr>
          <w:rFonts w:ascii="黑体" w:eastAsia="黑体" w:cs="黑体"/>
          <w:b/>
          <w:bCs/>
          <w:color w:val="000000"/>
          <w:sz w:val="32"/>
          <w:szCs w:val="32"/>
        </w:rPr>
        <w:t>5</w:t>
      </w:r>
      <w:r>
        <w:rPr>
          <w:rFonts w:hint="eastAsia" w:ascii="黑体" w:eastAsia="黑体" w:cs="黑体"/>
          <w:b/>
          <w:bCs/>
          <w:color w:val="000000"/>
          <w:sz w:val="32"/>
          <w:szCs w:val="32"/>
        </w:rPr>
        <w:t>月份资质受理情况</w:t>
      </w: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:10</w:t>
      </w:r>
      <w:r>
        <w:rPr>
          <w:rFonts w:hint="eastAsia" w:ascii="仿宋_GB2312" w:eastAsia="仿宋_GB2312" w:cs="仿宋_GB2312"/>
          <w:b/>
          <w:bCs/>
          <w:sz w:val="24"/>
          <w:szCs w:val="24"/>
        </w:rPr>
        <w:t>家</w:t>
      </w:r>
    </w:p>
    <w:tbl>
      <w:tblPr>
        <w:tblStyle w:val="3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上海蓝欢建筑劳务有限公司</w:t>
            </w:r>
          </w:p>
        </w:tc>
        <w:tc>
          <w:tcPr>
            <w:tcW w:w="3453" w:type="dxa"/>
            <w:vAlign w:val="center"/>
          </w:tcPr>
          <w:p>
            <w:pPr>
              <w:jc w:val="cente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上海筑旭建设工程有限公司</w:t>
            </w:r>
          </w:p>
        </w:tc>
        <w:tc>
          <w:tcPr>
            <w:tcW w:w="3453" w:type="dxa"/>
            <w:vAlign w:val="center"/>
          </w:tcPr>
          <w:p>
            <w:pPr>
              <w:jc w:val="cente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上海左路电气设备安装维护有限公司</w:t>
            </w:r>
          </w:p>
        </w:tc>
        <w:tc>
          <w:tcPr>
            <w:tcW w:w="3453" w:type="dxa"/>
            <w:vAlign w:val="center"/>
          </w:tcPr>
          <w:p>
            <w:pPr>
              <w:jc w:val="cente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上海奔河建筑装饰工程有限公司</w:t>
            </w:r>
          </w:p>
        </w:tc>
        <w:tc>
          <w:tcPr>
            <w:tcW w:w="3453" w:type="dxa"/>
            <w:vAlign w:val="center"/>
          </w:tcPr>
          <w:p>
            <w:pPr>
              <w:jc w:val="center"/>
              <w:rPr>
                <w:rFonts w:ascii="仿宋_GB2312" w:eastAsia="仿宋_GB2312"/>
              </w:rPr>
            </w:pPr>
            <w:r>
              <w:rPr>
                <w:rFonts w:hint="eastAsia" w:ascii="仿宋_GB2312" w:eastAsia="仿宋_GB2312" w:cs="仿宋_GB2312"/>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上海梦泰劳务派遣有限公司</w:t>
            </w:r>
          </w:p>
        </w:tc>
        <w:tc>
          <w:tcPr>
            <w:tcW w:w="3453" w:type="dxa"/>
            <w:vAlign w:val="center"/>
          </w:tcPr>
          <w:p>
            <w:pPr>
              <w:jc w:val="cente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上海鑫博环境工程有限公司</w:t>
            </w:r>
          </w:p>
        </w:tc>
        <w:tc>
          <w:tcPr>
            <w:tcW w:w="3453" w:type="dxa"/>
            <w:vAlign w:val="center"/>
          </w:tcPr>
          <w:p>
            <w:pPr>
              <w:jc w:val="cente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上海晨赢自动化工程有限公司</w:t>
            </w:r>
          </w:p>
        </w:tc>
        <w:tc>
          <w:tcPr>
            <w:tcW w:w="3453" w:type="dxa"/>
            <w:vAlign w:val="center"/>
          </w:tcPr>
          <w:p>
            <w:pPr>
              <w:jc w:val="cente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上海盈影建筑工程有限公司</w:t>
            </w:r>
          </w:p>
        </w:tc>
        <w:tc>
          <w:tcPr>
            <w:tcW w:w="3453" w:type="dxa"/>
            <w:vAlign w:val="center"/>
          </w:tcPr>
          <w:p>
            <w:pPr>
              <w:jc w:val="center"/>
              <w:rPr>
                <w:rFonts w:ascii="仿宋_GB2312" w:eastAsia="仿宋_GB2312"/>
              </w:rPr>
            </w:pPr>
            <w:r>
              <w:rPr>
                <w:rFonts w:hint="eastAsia" w:ascii="仿宋_GB2312" w:eastAsia="仿宋_GB2312" w:cs="仿宋_GB2312"/>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普惠绿装（上海）建设工程有限公司</w:t>
            </w:r>
          </w:p>
        </w:tc>
        <w:tc>
          <w:tcPr>
            <w:tcW w:w="3453" w:type="dxa"/>
            <w:vAlign w:val="center"/>
          </w:tcPr>
          <w:p>
            <w:pPr>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2020-5-11</w:t>
            </w:r>
          </w:p>
        </w:tc>
        <w:tc>
          <w:tcPr>
            <w:tcW w:w="4200" w:type="dxa"/>
            <w:vAlign w:val="center"/>
          </w:tcPr>
          <w:p>
            <w:pPr>
              <w:jc w:val="center"/>
              <w:rPr>
                <w:rFonts w:ascii="仿宋_GB2312" w:eastAsia="仿宋_GB2312"/>
              </w:rPr>
            </w:pPr>
            <w:r>
              <w:rPr>
                <w:rFonts w:hint="eastAsia" w:ascii="仿宋_GB2312" w:eastAsia="仿宋_GB2312" w:cs="仿宋_GB2312"/>
              </w:rPr>
              <w:t>上海梵鸟建筑工程有限公司</w:t>
            </w:r>
          </w:p>
        </w:tc>
        <w:tc>
          <w:tcPr>
            <w:tcW w:w="3453" w:type="dxa"/>
            <w:vAlign w:val="center"/>
          </w:tcPr>
          <w:p>
            <w:pPr>
              <w:jc w:val="center"/>
              <w:rPr>
                <w:rFonts w:ascii="仿宋_GB2312" w:eastAsia="仿宋_GB2312"/>
              </w:rPr>
            </w:pPr>
            <w:r>
              <w:rPr>
                <w:rFonts w:hint="eastAsia" w:ascii="仿宋_GB2312" w:eastAsia="仿宋_GB2312" w:cs="仿宋_GB2312"/>
              </w:rPr>
              <w:t>施工劳务企业资质不分级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p>
        </w:tc>
        <w:tc>
          <w:tcPr>
            <w:tcW w:w="4200" w:type="dxa"/>
            <w:vAlign w:val="center"/>
          </w:tcPr>
          <w:p>
            <w:pPr>
              <w:jc w:val="center"/>
              <w:rPr>
                <w:rFonts w:ascii="仿宋_GB2312" w:eastAsia="仿宋_GB2312"/>
              </w:rPr>
            </w:pPr>
          </w:p>
        </w:tc>
        <w:tc>
          <w:tcPr>
            <w:tcW w:w="3453" w:type="dxa"/>
            <w:vAlign w:val="center"/>
          </w:tcPr>
          <w:p>
            <w:pPr>
              <w:jc w:val="center"/>
              <w:rPr>
                <w:rFonts w:ascii="仿宋_GB2312" w:eastAsia="仿宋_GB2312"/>
              </w:rPr>
            </w:pP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68" w:type="dxa"/>
            <w:vAlign w:val="center"/>
          </w:tcPr>
          <w:p>
            <w:pPr>
              <w:spacing w:line="240" w:lineRule="atLeast"/>
              <w:jc w:val="center"/>
              <w:rPr>
                <w:rFonts w:ascii="仿宋_GB2312" w:eastAsia="仿宋_GB2312"/>
              </w:rPr>
            </w:pPr>
          </w:p>
        </w:tc>
        <w:tc>
          <w:tcPr>
            <w:tcW w:w="4200" w:type="dxa"/>
            <w:vAlign w:val="center"/>
          </w:tcPr>
          <w:p>
            <w:pPr>
              <w:spacing w:line="240" w:lineRule="atLeast"/>
              <w:jc w:val="center"/>
              <w:rPr>
                <w:rFonts w:ascii="仿宋_GB2312" w:eastAsia="仿宋_GB2312"/>
              </w:rPr>
            </w:pPr>
          </w:p>
        </w:tc>
        <w:tc>
          <w:tcPr>
            <w:tcW w:w="3453" w:type="dxa"/>
            <w:vAlign w:val="center"/>
          </w:tcPr>
          <w:p>
            <w:pPr>
              <w:spacing w:line="240" w:lineRule="atLeast"/>
              <w:jc w:val="center"/>
              <w:rPr>
                <w:rFonts w:asci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2020</w:t>
      </w:r>
      <w:r>
        <w:rPr>
          <w:rFonts w:hint="eastAsia" w:ascii="黑体" w:eastAsia="黑体" w:cs="黑体"/>
          <w:b/>
          <w:bCs/>
          <w:sz w:val="32"/>
          <w:szCs w:val="32"/>
        </w:rPr>
        <w:t>年月</w:t>
      </w:r>
      <w:r>
        <w:rPr>
          <w:rFonts w:ascii="黑体" w:eastAsia="黑体" w:cs="黑体"/>
          <w:b/>
          <w:bCs/>
          <w:sz w:val="32"/>
          <w:szCs w:val="32"/>
        </w:rPr>
        <w:t>5</w:t>
      </w:r>
      <w:r>
        <w:rPr>
          <w:rFonts w:hint="eastAsia" w:ascii="黑体" w:eastAsia="黑体" w:cs="黑体"/>
          <w:b/>
          <w:bCs/>
          <w:sz w:val="32"/>
          <w:szCs w:val="32"/>
        </w:rPr>
        <w:t>金山区建设工程施工招投标项目清单</w:t>
      </w:r>
    </w:p>
    <w:p>
      <w:pPr>
        <w:snapToGrid w:val="0"/>
        <w:spacing w:line="240" w:lineRule="atLeast"/>
        <w:rPr>
          <w:rFonts w:ascii="黑体" w:eastAsia="黑体"/>
          <w:b/>
          <w:bCs/>
          <w:sz w:val="32"/>
          <w:szCs w:val="32"/>
        </w:rPr>
      </w:pPr>
    </w:p>
    <w:tbl>
      <w:tblPr>
        <w:tblStyle w:val="30"/>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313"/>
        <w:gridCol w:w="673"/>
        <w:gridCol w:w="1906"/>
        <w:gridCol w:w="3623"/>
        <w:gridCol w:w="2361"/>
        <w:gridCol w:w="1484"/>
        <w:gridCol w:w="109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1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7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190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62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361"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84"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中标价（万元）</w:t>
            </w:r>
          </w:p>
        </w:tc>
        <w:tc>
          <w:tcPr>
            <w:tcW w:w="109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119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2" w:type="dxa"/>
            <w:vAlign w:val="center"/>
          </w:tcPr>
          <w:p>
            <w:pPr>
              <w:jc w:val="center"/>
              <w:rPr>
                <w:rFonts w:ascii="仿宋_GB2312" w:hAnsi="宋体" w:eastAsia="仿宋_GB2312"/>
                <w:kern w:val="0"/>
              </w:rPr>
            </w:pPr>
            <w:r>
              <w:rPr>
                <w:rFonts w:ascii="仿宋_GB2312" w:hAnsi="宋体" w:eastAsia="仿宋_GB2312" w:cs="仿宋_GB2312"/>
                <w:kern w:val="0"/>
              </w:rPr>
              <w:t>1</w:t>
            </w:r>
          </w:p>
        </w:tc>
        <w:tc>
          <w:tcPr>
            <w:tcW w:w="1313" w:type="dxa"/>
            <w:vAlign w:val="center"/>
          </w:tcPr>
          <w:p>
            <w:pPr>
              <w:jc w:val="center"/>
              <w:rPr>
                <w:rFonts w:ascii="仿宋_GB2312" w:hAnsi="宋体" w:eastAsia="仿宋_GB2312" w:cs="仿宋_GB2312"/>
                <w:kern w:val="0"/>
              </w:rPr>
            </w:pPr>
            <w:r>
              <w:rPr>
                <w:rFonts w:ascii="仿宋_GB2312" w:hAnsi="宋体" w:eastAsia="仿宋_GB2312" w:cs="仿宋_GB2312"/>
                <w:kern w:val="0"/>
              </w:rPr>
              <w:t>2002JS0021</w:t>
            </w:r>
          </w:p>
        </w:tc>
        <w:tc>
          <w:tcPr>
            <w:tcW w:w="673" w:type="dxa"/>
            <w:vAlign w:val="center"/>
          </w:tcPr>
          <w:p>
            <w:pPr>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jc w:val="center"/>
              <w:rPr>
                <w:rFonts w:ascii="仿宋_GB2312" w:hAnsi="宋体" w:eastAsia="仿宋_GB2312"/>
                <w:kern w:val="0"/>
              </w:rPr>
            </w:pPr>
            <w:r>
              <w:rPr>
                <w:rFonts w:hint="eastAsia" w:ascii="仿宋_GB2312" w:hAnsi="宋体" w:eastAsia="仿宋_GB2312" w:cs="仿宋_GB2312"/>
                <w:kern w:val="0"/>
              </w:rPr>
              <w:t>上海市金山区吕巷镇人民政府</w:t>
            </w:r>
          </w:p>
        </w:tc>
        <w:tc>
          <w:tcPr>
            <w:tcW w:w="3623" w:type="dxa"/>
            <w:vAlign w:val="center"/>
          </w:tcPr>
          <w:p>
            <w:pPr>
              <w:jc w:val="center"/>
              <w:rPr>
                <w:rFonts w:ascii="仿宋_GB2312" w:hAnsi="宋体" w:eastAsia="仿宋_GB2312"/>
                <w:kern w:val="0"/>
              </w:rPr>
            </w:pPr>
            <w:r>
              <w:rPr>
                <w:rFonts w:hint="eastAsia" w:ascii="仿宋_GB2312" w:hAnsi="宋体" w:eastAsia="仿宋_GB2312" w:cs="仿宋_GB2312"/>
                <w:kern w:val="0"/>
              </w:rPr>
              <w:t>“四好农村路”吕巷镇干林路（新张泾桥</w:t>
            </w:r>
            <w:r>
              <w:rPr>
                <w:rFonts w:ascii="仿宋_GB2312" w:hAnsi="宋体" w:eastAsia="仿宋_GB2312" w:cs="仿宋_GB2312"/>
                <w:kern w:val="0"/>
              </w:rPr>
              <w:t>-</w:t>
            </w:r>
            <w:r>
              <w:rPr>
                <w:rFonts w:hint="eastAsia" w:ascii="仿宋_GB2312" w:hAnsi="宋体" w:eastAsia="仿宋_GB2312" w:cs="仿宋_GB2312"/>
                <w:kern w:val="0"/>
              </w:rPr>
              <w:t>陈泾河桥）提档升级工程</w:t>
            </w:r>
            <w:r>
              <w:rPr>
                <w:rFonts w:ascii="仿宋_GB2312" w:hAnsi="宋体" w:eastAsia="仿宋_GB2312" w:cs="仿宋_GB2312"/>
                <w:kern w:val="0"/>
              </w:rPr>
              <w:t xml:space="preserve">  </w:t>
            </w:r>
          </w:p>
        </w:tc>
        <w:tc>
          <w:tcPr>
            <w:tcW w:w="2361" w:type="dxa"/>
            <w:vAlign w:val="center"/>
          </w:tcPr>
          <w:p>
            <w:pPr>
              <w:jc w:val="center"/>
              <w:rPr>
                <w:rFonts w:ascii="仿宋_GB2312" w:hAnsi="宋体" w:eastAsia="仿宋_GB2312"/>
                <w:kern w:val="0"/>
              </w:rPr>
            </w:pPr>
            <w:r>
              <w:rPr>
                <w:rFonts w:hint="eastAsia" w:ascii="仿宋_GB2312" w:hAnsi="宋体" w:eastAsia="仿宋_GB2312" w:cs="仿宋_GB2312"/>
                <w:kern w:val="0"/>
              </w:rPr>
              <w:t>上海金山公路建设有限公司</w:t>
            </w:r>
          </w:p>
        </w:tc>
        <w:tc>
          <w:tcPr>
            <w:tcW w:w="1484" w:type="dxa"/>
            <w:vAlign w:val="center"/>
          </w:tcPr>
          <w:p>
            <w:pPr>
              <w:jc w:val="center"/>
              <w:rPr>
                <w:rFonts w:ascii="仿宋_GB2312" w:hAnsi="宋体" w:eastAsia="仿宋_GB2312"/>
                <w:kern w:val="0"/>
              </w:rPr>
            </w:pPr>
            <w:r>
              <w:rPr>
                <w:rFonts w:ascii="仿宋_GB2312" w:hAnsi="宋体" w:eastAsia="仿宋_GB2312" w:cs="仿宋_GB2312"/>
                <w:kern w:val="0"/>
              </w:rPr>
              <w:t>1808.1924</w:t>
            </w:r>
          </w:p>
        </w:tc>
        <w:tc>
          <w:tcPr>
            <w:tcW w:w="1093" w:type="dxa"/>
            <w:vAlign w:val="center"/>
          </w:tcPr>
          <w:p>
            <w:pPr>
              <w:jc w:val="center"/>
              <w:rPr>
                <w:rFonts w:ascii="仿宋_GB2312" w:hAnsi="宋体" w:eastAsia="仿宋_GB2312"/>
                <w:kern w:val="0"/>
              </w:rPr>
            </w:pPr>
            <w:r>
              <w:rPr>
                <w:rFonts w:ascii="仿宋_GB2312" w:hAnsi="宋体" w:eastAsia="仿宋_GB2312" w:cs="仿宋_GB2312"/>
                <w:kern w:val="0"/>
              </w:rPr>
              <w:t>0</w:t>
            </w:r>
          </w:p>
        </w:tc>
        <w:tc>
          <w:tcPr>
            <w:tcW w:w="1199" w:type="dxa"/>
            <w:vAlign w:val="center"/>
          </w:tcPr>
          <w:p>
            <w:pPr>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2</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 xml:space="preserve"> 2002JS0011</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上海城展置业有限公司</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金山区朱泾镇镇区</w:t>
            </w:r>
            <w:r>
              <w:rPr>
                <w:rFonts w:ascii="仿宋_GB2312" w:hAnsi="宋体" w:eastAsia="仿宋_GB2312" w:cs="仿宋_GB2312"/>
                <w:kern w:val="0"/>
              </w:rPr>
              <w:t>B18-03</w:t>
            </w:r>
            <w:r>
              <w:rPr>
                <w:rFonts w:hint="eastAsia" w:ascii="仿宋_GB2312" w:hAnsi="宋体" w:eastAsia="仿宋_GB2312" w:cs="仿宋_GB2312"/>
                <w:kern w:val="0"/>
              </w:rPr>
              <w:t>地块（“城中村”改造项目</w:t>
            </w:r>
            <w:r>
              <w:rPr>
                <w:rFonts w:ascii="仿宋_GB2312" w:hAnsi="宋体" w:eastAsia="仿宋_GB2312" w:cs="仿宋_GB2312"/>
                <w:kern w:val="0"/>
              </w:rPr>
              <w:t>-</w:t>
            </w:r>
            <w:r>
              <w:rPr>
                <w:rFonts w:hint="eastAsia" w:ascii="仿宋_GB2312" w:hAnsi="宋体" w:eastAsia="仿宋_GB2312" w:cs="仿宋_GB2312"/>
                <w:kern w:val="0"/>
              </w:rPr>
              <w:t>朱泾镇水上新村地块）</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上海建工七建集团有限公司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94993.9353</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213999</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3</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 xml:space="preserve"> 2002JS0003 </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上海市金山区山阳镇人民政府</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“四好农村路”山阳镇长兴路提档升级工程</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上海增源建设工程有限公司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796.8211</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0</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4</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2002JS0001</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上海大有风泽实业有限公司</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上海大有风泽实业有限公司高科技产业园（东部）扩建项目</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上海浦西建筑工程有限公司</w:t>
            </w:r>
            <w:r>
              <w:rPr>
                <w:rFonts w:ascii="仿宋_GB2312" w:hAnsi="宋体" w:eastAsia="仿宋_GB2312" w:cs="仿宋_GB2312"/>
                <w:kern w:val="0"/>
              </w:rPr>
              <w:t xml:space="preserve"> </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1945.86</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7696.1</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5</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 xml:space="preserve"> 1902JS0166 </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上海市金山区枫泾镇人民政府</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枫泾镇中洪村简易垃圾填埋场封场工程</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上海环境卫生工程设计院有限公司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1607.0358</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0</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6</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1902JS0162</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上海市金山区交通委员会</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北秀路（南枫公路朱泾镇区段，健康路</w:t>
            </w:r>
            <w:r>
              <w:rPr>
                <w:rFonts w:ascii="仿宋_GB2312" w:hAnsi="宋体" w:eastAsia="仿宋_GB2312" w:cs="仿宋_GB2312"/>
                <w:kern w:val="0"/>
              </w:rPr>
              <w:t>-</w:t>
            </w:r>
            <w:r>
              <w:rPr>
                <w:rFonts w:hint="eastAsia" w:ascii="仿宋_GB2312" w:hAnsi="宋体" w:eastAsia="仿宋_GB2312" w:cs="仿宋_GB2312"/>
                <w:kern w:val="0"/>
              </w:rPr>
              <w:t>沈浦泾路）新建工程一标</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上海奉贤建设发展（集团）有限公司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4987.3028</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0</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7</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1902JS0162</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C02</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上海市金山区交通委员会</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北秀路（南枫公路朱泾镇区段，健康路</w:t>
            </w:r>
            <w:r>
              <w:rPr>
                <w:rFonts w:ascii="仿宋_GB2312" w:hAnsi="宋体" w:eastAsia="仿宋_GB2312" w:cs="仿宋_GB2312"/>
                <w:kern w:val="0"/>
              </w:rPr>
              <w:t>-</w:t>
            </w:r>
            <w:r>
              <w:rPr>
                <w:rFonts w:hint="eastAsia" w:ascii="仿宋_GB2312" w:hAnsi="宋体" w:eastAsia="仿宋_GB2312" w:cs="仿宋_GB2312"/>
                <w:kern w:val="0"/>
              </w:rPr>
              <w:t>沈浦泾路）新建工程二标</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上海市水利工程集团有限公司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3999.8676</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0</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8</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 xml:space="preserve">1802JS0019 </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上海新金山工业投资发展有限公司</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金山工业区主中心配套幼儿园新建工程</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上海建溧建设集团有限公司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3513.65</w:t>
            </w:r>
          </w:p>
        </w:tc>
        <w:tc>
          <w:tcPr>
            <w:tcW w:w="1093"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6729.12</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公开招标</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22"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9</w:t>
            </w:r>
          </w:p>
        </w:tc>
        <w:tc>
          <w:tcPr>
            <w:tcW w:w="131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1902JS0218</w:t>
            </w:r>
          </w:p>
        </w:tc>
        <w:tc>
          <w:tcPr>
            <w:tcW w:w="67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C01</w:t>
            </w:r>
          </w:p>
        </w:tc>
        <w:tc>
          <w:tcPr>
            <w:tcW w:w="1906"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上海市安装工程集团有限公司</w:t>
            </w:r>
          </w:p>
        </w:tc>
        <w:tc>
          <w:tcPr>
            <w:tcW w:w="3623"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上海市安装工程集团压力容器制造及技术研发基地项目</w:t>
            </w:r>
            <w:r>
              <w:rPr>
                <w:rFonts w:ascii="仿宋_GB2312" w:hAnsi="宋体" w:eastAsia="仿宋_GB2312" w:cs="仿宋_GB2312"/>
                <w:kern w:val="0"/>
              </w:rPr>
              <w:t xml:space="preserve">  </w:t>
            </w:r>
          </w:p>
        </w:tc>
        <w:tc>
          <w:tcPr>
            <w:tcW w:w="2361"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上海市安装工程集团有限公司</w:t>
            </w:r>
          </w:p>
        </w:tc>
        <w:tc>
          <w:tcPr>
            <w:tcW w:w="1484" w:type="dxa"/>
            <w:vAlign w:val="center"/>
          </w:tcPr>
          <w:p>
            <w:pPr>
              <w:snapToGrid w:val="0"/>
              <w:spacing w:line="240" w:lineRule="atLeast"/>
              <w:jc w:val="center"/>
              <w:rPr>
                <w:rFonts w:ascii="仿宋_GB2312" w:hAnsi="宋体" w:eastAsia="仿宋_GB2312"/>
                <w:kern w:val="0"/>
              </w:rPr>
            </w:pPr>
            <w:r>
              <w:rPr>
                <w:rFonts w:ascii="仿宋_GB2312" w:hAnsi="宋体" w:eastAsia="仿宋_GB2312" w:cs="仿宋_GB2312"/>
                <w:kern w:val="0"/>
              </w:rPr>
              <w:t>5106.6802</w:t>
            </w:r>
          </w:p>
        </w:tc>
        <w:tc>
          <w:tcPr>
            <w:tcW w:w="1093" w:type="dxa"/>
            <w:vAlign w:val="center"/>
          </w:tcPr>
          <w:p>
            <w:pPr>
              <w:snapToGrid w:val="0"/>
              <w:spacing w:line="240" w:lineRule="atLeast"/>
              <w:jc w:val="center"/>
              <w:rPr>
                <w:rFonts w:ascii="仿宋_GB2312" w:hAnsi="宋体" w:eastAsia="仿宋_GB2312" w:cs="仿宋_GB2312"/>
                <w:kern w:val="0"/>
              </w:rPr>
            </w:pPr>
            <w:r>
              <w:rPr>
                <w:rFonts w:ascii="仿宋_GB2312" w:hAnsi="宋体" w:eastAsia="仿宋_GB2312" w:cs="仿宋_GB2312"/>
                <w:kern w:val="0"/>
              </w:rPr>
              <w:t>11010.04</w:t>
            </w:r>
          </w:p>
        </w:tc>
        <w:tc>
          <w:tcPr>
            <w:tcW w:w="1199" w:type="dxa"/>
            <w:vAlign w:val="center"/>
          </w:tcPr>
          <w:p>
            <w:pPr>
              <w:snapToGrid w:val="0"/>
              <w:spacing w:line="240" w:lineRule="atLeast"/>
              <w:jc w:val="center"/>
              <w:rPr>
                <w:rFonts w:ascii="仿宋_GB2312" w:hAnsi="宋体" w:eastAsia="仿宋_GB2312"/>
                <w:kern w:val="0"/>
              </w:rPr>
            </w:pPr>
            <w:r>
              <w:rPr>
                <w:rFonts w:hint="eastAsia" w:ascii="仿宋_GB2312" w:hAnsi="宋体" w:eastAsia="仿宋_GB2312" w:cs="仿宋_GB2312"/>
                <w:kern w:val="0"/>
              </w:rPr>
              <w:t>直接发包（调正）</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9DF"/>
    <w:rsid w:val="00036DFA"/>
    <w:rsid w:val="000379F5"/>
    <w:rsid w:val="00037F7D"/>
    <w:rsid w:val="000402B5"/>
    <w:rsid w:val="000407C1"/>
    <w:rsid w:val="00040872"/>
    <w:rsid w:val="00040EA1"/>
    <w:rsid w:val="00041D4F"/>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0B1"/>
    <w:rsid w:val="000731F0"/>
    <w:rsid w:val="00073554"/>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5A6F"/>
    <w:rsid w:val="00116358"/>
    <w:rsid w:val="001177FB"/>
    <w:rsid w:val="001178AF"/>
    <w:rsid w:val="001209B3"/>
    <w:rsid w:val="00120AB6"/>
    <w:rsid w:val="00120E35"/>
    <w:rsid w:val="001211A2"/>
    <w:rsid w:val="001212D9"/>
    <w:rsid w:val="0012145C"/>
    <w:rsid w:val="00121BBB"/>
    <w:rsid w:val="00123533"/>
    <w:rsid w:val="0012568D"/>
    <w:rsid w:val="0012647E"/>
    <w:rsid w:val="001273D1"/>
    <w:rsid w:val="00127731"/>
    <w:rsid w:val="00130DB9"/>
    <w:rsid w:val="00130F9F"/>
    <w:rsid w:val="0013131E"/>
    <w:rsid w:val="001313C1"/>
    <w:rsid w:val="00132842"/>
    <w:rsid w:val="00133104"/>
    <w:rsid w:val="001339E7"/>
    <w:rsid w:val="00134334"/>
    <w:rsid w:val="00134AC8"/>
    <w:rsid w:val="00135809"/>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17"/>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82D"/>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29AE"/>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1574"/>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EEA"/>
    <w:rsid w:val="00447903"/>
    <w:rsid w:val="00447B2B"/>
    <w:rsid w:val="00447F76"/>
    <w:rsid w:val="00450A3D"/>
    <w:rsid w:val="00451A25"/>
    <w:rsid w:val="00452C3B"/>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284"/>
    <w:rsid w:val="004B5FF8"/>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2F4"/>
    <w:rsid w:val="0052332B"/>
    <w:rsid w:val="00525275"/>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24D6"/>
    <w:rsid w:val="0058265F"/>
    <w:rsid w:val="00582EC2"/>
    <w:rsid w:val="00583175"/>
    <w:rsid w:val="0058454A"/>
    <w:rsid w:val="0058548F"/>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4BDF"/>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F44"/>
    <w:rsid w:val="0068690C"/>
    <w:rsid w:val="00686B0E"/>
    <w:rsid w:val="00686FC1"/>
    <w:rsid w:val="00687EDC"/>
    <w:rsid w:val="00691128"/>
    <w:rsid w:val="00692698"/>
    <w:rsid w:val="00692DC9"/>
    <w:rsid w:val="00693C62"/>
    <w:rsid w:val="00693C7B"/>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3D25"/>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905"/>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0FE"/>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CF"/>
    <w:rsid w:val="00AF06F3"/>
    <w:rsid w:val="00AF1037"/>
    <w:rsid w:val="00AF1049"/>
    <w:rsid w:val="00AF10C4"/>
    <w:rsid w:val="00AF2ECE"/>
    <w:rsid w:val="00AF2F47"/>
    <w:rsid w:val="00AF3218"/>
    <w:rsid w:val="00AF40C7"/>
    <w:rsid w:val="00AF4313"/>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3AD"/>
    <w:rsid w:val="00C66805"/>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12184"/>
    <w:rsid w:val="00D12435"/>
    <w:rsid w:val="00D1267A"/>
    <w:rsid w:val="00D13266"/>
    <w:rsid w:val="00D13B6E"/>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AE"/>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E99"/>
    <w:rsid w:val="00DA5150"/>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6610"/>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C7DC9"/>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220"/>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4A4"/>
    <w:rsid w:val="00F7696C"/>
    <w:rsid w:val="00F7726E"/>
    <w:rsid w:val="00F8013E"/>
    <w:rsid w:val="00F80E6F"/>
    <w:rsid w:val="00F81168"/>
    <w:rsid w:val="00F823A4"/>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15D0"/>
    <w:rsid w:val="00FF1A57"/>
    <w:rsid w:val="00FF1B84"/>
    <w:rsid w:val="00FF23C4"/>
    <w:rsid w:val="00FF268F"/>
    <w:rsid w:val="00FF2910"/>
    <w:rsid w:val="00FF3D10"/>
    <w:rsid w:val="00FF4827"/>
    <w:rsid w:val="00FF4A1F"/>
    <w:rsid w:val="00FF4BF2"/>
    <w:rsid w:val="00FF65AD"/>
    <w:rsid w:val="00FF7E51"/>
    <w:rsid w:val="24D67A68"/>
    <w:rsid w:val="29082BE0"/>
    <w:rsid w:val="2F406F0F"/>
    <w:rsid w:val="3DAE0540"/>
    <w:rsid w:val="5BD347B4"/>
    <w:rsid w:val="5CF266B4"/>
    <w:rsid w:val="5FFF0CF4"/>
    <w:rsid w:val="67604DC2"/>
    <w:rsid w:val="71B46619"/>
    <w:rsid w:val="7C330DA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5">
    <w:name w:val="Default Paragraph Font"/>
    <w:semiHidden/>
    <w:uiPriority w:val="99"/>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99"/>
    <w:rPr>
      <w:b/>
      <w:bCs/>
    </w:rPr>
  </w:style>
  <w:style w:type="character" w:styleId="27">
    <w:name w:val="page number"/>
    <w:basedOn w:val="25"/>
    <w:qFormat/>
    <w:uiPriority w:val="99"/>
  </w:style>
  <w:style w:type="character" w:styleId="28">
    <w:name w:val="Emphasis"/>
    <w:basedOn w:val="25"/>
    <w:qFormat/>
    <w:uiPriority w:val="99"/>
    <w:rPr>
      <w:i/>
      <w:iCs/>
    </w:rPr>
  </w:style>
  <w:style w:type="character" w:styleId="29">
    <w:name w:val="Hyperlink"/>
    <w:basedOn w:val="25"/>
    <w:qFormat/>
    <w:uiPriority w:val="99"/>
    <w:rPr>
      <w:color w:val="auto"/>
      <w:u w:val="none"/>
    </w:rPr>
  </w:style>
  <w:style w:type="table" w:styleId="31">
    <w:name w:val="Table Grid"/>
    <w:basedOn w:val="3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Heading 1 Char"/>
    <w:basedOn w:val="25"/>
    <w:link w:val="2"/>
    <w:qFormat/>
    <w:locked/>
    <w:uiPriority w:val="99"/>
    <w:rPr>
      <w:rFonts w:eastAsia="黑体"/>
      <w:b/>
      <w:bCs/>
      <w:kern w:val="44"/>
      <w:sz w:val="44"/>
      <w:szCs w:val="44"/>
    </w:rPr>
  </w:style>
  <w:style w:type="character" w:customStyle="1" w:styleId="33">
    <w:name w:val="Heading 2 Char"/>
    <w:basedOn w:val="25"/>
    <w:link w:val="3"/>
    <w:locked/>
    <w:uiPriority w:val="99"/>
    <w:rPr>
      <w:rFonts w:ascii="Arial" w:hAnsi="Arial" w:eastAsia="黑体" w:cs="Arial"/>
      <w:b/>
      <w:bCs/>
      <w:kern w:val="2"/>
      <w:sz w:val="32"/>
      <w:szCs w:val="32"/>
      <w:lang w:val="en-US" w:eastAsia="zh-CN"/>
    </w:rPr>
  </w:style>
  <w:style w:type="character" w:customStyle="1" w:styleId="34">
    <w:name w:val="Heading 3 Char"/>
    <w:basedOn w:val="25"/>
    <w:link w:val="4"/>
    <w:qFormat/>
    <w:locked/>
    <w:uiPriority w:val="99"/>
    <w:rPr>
      <w:rFonts w:ascii="宋体" w:hAnsi="宋体" w:eastAsia="黑体" w:cs="宋体"/>
      <w:b/>
      <w:bCs/>
      <w:sz w:val="27"/>
      <w:szCs w:val="27"/>
    </w:rPr>
  </w:style>
  <w:style w:type="character" w:customStyle="1" w:styleId="35">
    <w:name w:val="Heading 4 Char"/>
    <w:basedOn w:val="25"/>
    <w:link w:val="5"/>
    <w:qFormat/>
    <w:locked/>
    <w:uiPriority w:val="99"/>
    <w:rPr>
      <w:rFonts w:ascii="Arial" w:hAnsi="Arial" w:eastAsia="黑体" w:cs="Arial"/>
      <w:sz w:val="32"/>
      <w:szCs w:val="32"/>
    </w:rPr>
  </w:style>
  <w:style w:type="character" w:customStyle="1" w:styleId="36">
    <w:name w:val="Heading 5 Char"/>
    <w:basedOn w:val="25"/>
    <w:link w:val="6"/>
    <w:locked/>
    <w:uiPriority w:val="99"/>
    <w:rPr>
      <w:rFonts w:eastAsia="楷体_GB2312"/>
      <w:b/>
      <w:bCs/>
      <w:sz w:val="30"/>
      <w:szCs w:val="30"/>
    </w:rPr>
  </w:style>
  <w:style w:type="character" w:customStyle="1" w:styleId="37">
    <w:name w:val="Heading 6 Char"/>
    <w:basedOn w:val="25"/>
    <w:link w:val="7"/>
    <w:locked/>
    <w:uiPriority w:val="99"/>
    <w:rPr>
      <w:rFonts w:hAnsi="Arial" w:eastAsia="仿宋_GB2312"/>
      <w:sz w:val="30"/>
      <w:szCs w:val="30"/>
    </w:rPr>
  </w:style>
  <w:style w:type="character" w:customStyle="1" w:styleId="38">
    <w:name w:val="Heading 7 Char"/>
    <w:basedOn w:val="25"/>
    <w:link w:val="9"/>
    <w:locked/>
    <w:uiPriority w:val="99"/>
    <w:rPr>
      <w:rFonts w:eastAsia="仿宋_GB2312"/>
      <w:sz w:val="30"/>
      <w:szCs w:val="30"/>
    </w:rPr>
  </w:style>
  <w:style w:type="character" w:customStyle="1" w:styleId="39">
    <w:name w:val="Heading 8 Char"/>
    <w:basedOn w:val="25"/>
    <w:link w:val="10"/>
    <w:qFormat/>
    <w:locked/>
    <w:uiPriority w:val="99"/>
    <w:rPr>
      <w:rFonts w:hAnsi="Arial" w:eastAsia="仿宋_GB2312"/>
      <w:sz w:val="30"/>
      <w:szCs w:val="30"/>
    </w:rPr>
  </w:style>
  <w:style w:type="character" w:customStyle="1" w:styleId="40">
    <w:name w:val="Heading 9 Char"/>
    <w:basedOn w:val="25"/>
    <w:link w:val="11"/>
    <w:qFormat/>
    <w:locked/>
    <w:uiPriority w:val="99"/>
    <w:rPr>
      <w:rFonts w:eastAsia="仿宋_GB2312"/>
      <w:sz w:val="30"/>
      <w:szCs w:val="30"/>
    </w:rPr>
  </w:style>
  <w:style w:type="character" w:customStyle="1" w:styleId="41">
    <w:name w:val="Document Map Char"/>
    <w:basedOn w:val="25"/>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Body Text Char"/>
    <w:basedOn w:val="25"/>
    <w:link w:val="13"/>
    <w:qFormat/>
    <w:locked/>
    <w:uiPriority w:val="99"/>
    <w:rPr>
      <w:kern w:val="2"/>
      <w:sz w:val="21"/>
      <w:szCs w:val="21"/>
    </w:rPr>
  </w:style>
  <w:style w:type="character" w:customStyle="1" w:styleId="43">
    <w:name w:val="Body Text Indent Char"/>
    <w:basedOn w:val="25"/>
    <w:link w:val="14"/>
    <w:qFormat/>
    <w:locked/>
    <w:uiPriority w:val="99"/>
    <w:rPr>
      <w:kern w:val="2"/>
      <w:sz w:val="28"/>
      <w:szCs w:val="28"/>
    </w:rPr>
  </w:style>
  <w:style w:type="character" w:customStyle="1" w:styleId="44">
    <w:name w:val="Plain Text Char"/>
    <w:basedOn w:val="25"/>
    <w:link w:val="16"/>
    <w:qFormat/>
    <w:locked/>
    <w:uiPriority w:val="99"/>
    <w:rPr>
      <w:rFonts w:ascii="宋体" w:hAnsi="Courier New" w:eastAsia="宋体" w:cs="宋体"/>
      <w:kern w:val="2"/>
      <w:sz w:val="21"/>
      <w:szCs w:val="21"/>
      <w:lang w:val="en-US" w:eastAsia="zh-CN"/>
    </w:rPr>
  </w:style>
  <w:style w:type="character" w:customStyle="1" w:styleId="45">
    <w:name w:val="Date Char"/>
    <w:basedOn w:val="25"/>
    <w:link w:val="17"/>
    <w:qFormat/>
    <w:locked/>
    <w:uiPriority w:val="99"/>
    <w:rPr>
      <w:kern w:val="2"/>
      <w:sz w:val="21"/>
      <w:szCs w:val="21"/>
    </w:rPr>
  </w:style>
  <w:style w:type="character" w:customStyle="1" w:styleId="46">
    <w:name w:val="Balloon Text Char"/>
    <w:basedOn w:val="25"/>
    <w:link w:val="18"/>
    <w:qFormat/>
    <w:locked/>
    <w:uiPriority w:val="99"/>
    <w:rPr>
      <w:kern w:val="2"/>
      <w:sz w:val="18"/>
      <w:szCs w:val="18"/>
    </w:rPr>
  </w:style>
  <w:style w:type="character" w:customStyle="1" w:styleId="47">
    <w:name w:val="Footer Char"/>
    <w:basedOn w:val="25"/>
    <w:link w:val="19"/>
    <w:qFormat/>
    <w:locked/>
    <w:uiPriority w:val="99"/>
    <w:rPr>
      <w:kern w:val="2"/>
      <w:sz w:val="18"/>
      <w:szCs w:val="18"/>
    </w:rPr>
  </w:style>
  <w:style w:type="character" w:customStyle="1" w:styleId="48">
    <w:name w:val="Header Char"/>
    <w:basedOn w:val="25"/>
    <w:link w:val="20"/>
    <w:qFormat/>
    <w:locked/>
    <w:uiPriority w:val="99"/>
    <w:rPr>
      <w:kern w:val="2"/>
      <w:sz w:val="18"/>
      <w:szCs w:val="18"/>
    </w:rPr>
  </w:style>
  <w:style w:type="character" w:customStyle="1" w:styleId="49">
    <w:name w:val="HTML Preformatted Char"/>
    <w:basedOn w:val="25"/>
    <w:link w:val="23"/>
    <w:qFormat/>
    <w:locked/>
    <w:uiPriority w:val="99"/>
    <w:rPr>
      <w:rFonts w:ascii="Arial" w:hAnsi="Arial" w:cs="Arial"/>
      <w:sz w:val="24"/>
      <w:szCs w:val="24"/>
    </w:rPr>
  </w:style>
  <w:style w:type="paragraph" w:customStyle="1" w:styleId="50">
    <w:name w:val="p0"/>
    <w:basedOn w:val="1"/>
    <w:uiPriority w:val="99"/>
    <w:pPr>
      <w:widowControl/>
    </w:pPr>
    <w:rPr>
      <w:kern w:val="0"/>
    </w:rPr>
  </w:style>
  <w:style w:type="character" w:customStyle="1" w:styleId="51">
    <w:name w:val="hei141"/>
    <w:basedOn w:val="25"/>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5"/>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basedOn w:val="25"/>
    <w:uiPriority w:val="99"/>
    <w:rPr>
      <w:b/>
      <w:bCs/>
      <w:color w:val="auto"/>
      <w:sz w:val="40"/>
      <w:szCs w:val="40"/>
    </w:rPr>
  </w:style>
  <w:style w:type="character" w:customStyle="1" w:styleId="56">
    <w:name w:val="competitioncontent1"/>
    <w:basedOn w:val="25"/>
    <w:uiPriority w:val="99"/>
    <w:rPr>
      <w:sz w:val="18"/>
      <w:szCs w:val="18"/>
    </w:rPr>
  </w:style>
  <w:style w:type="paragraph" w:customStyle="1" w:styleId="57">
    <w:name w:val="Char2"/>
    <w:basedOn w:val="1"/>
    <w:uiPriority w:val="99"/>
    <w:rPr>
      <w:rFonts w:ascii="宋体" w:hAnsi="宋体" w:cs="宋体"/>
      <w:sz w:val="32"/>
      <w:szCs w:val="32"/>
    </w:rPr>
  </w:style>
  <w:style w:type="character" w:customStyle="1" w:styleId="58">
    <w:name w:val="content4"/>
    <w:basedOn w:val="25"/>
    <w:uiPriority w:val="99"/>
  </w:style>
  <w:style w:type="paragraph" w:customStyle="1" w:styleId="59">
    <w:name w:val="aa"/>
    <w:basedOn w:val="1"/>
    <w:uiPriority w:val="99"/>
    <w:pPr>
      <w:widowControl/>
      <w:jc w:val="left"/>
    </w:pPr>
    <w:rPr>
      <w:rFonts w:ascii="宋体" w:hAnsi="宋体" w:cs="宋体"/>
      <w:kern w:val="0"/>
      <w:sz w:val="24"/>
      <w:szCs w:val="24"/>
    </w:rPr>
  </w:style>
  <w:style w:type="paragraph" w:customStyle="1" w:styleId="60">
    <w:name w:val="bb"/>
    <w:basedOn w:val="1"/>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basedOn w:val="25"/>
    <w:uiPriority w:val="99"/>
    <w:rPr>
      <w:b/>
      <w:bCs/>
      <w:sz w:val="27"/>
      <w:szCs w:val="27"/>
    </w:rPr>
  </w:style>
  <w:style w:type="paragraph" w:customStyle="1" w:styleId="63">
    <w:name w:val="Char21"/>
    <w:basedOn w:val="1"/>
    <w:uiPriority w:val="99"/>
    <w:rPr>
      <w:rFonts w:ascii="Tahoma" w:hAnsi="Tahoma" w:cs="Tahoma"/>
      <w:sz w:val="24"/>
      <w:szCs w:val="24"/>
    </w:rPr>
  </w:style>
  <w:style w:type="paragraph" w:customStyle="1" w:styleId="64">
    <w:name w:val="Char1"/>
    <w:basedOn w:val="1"/>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basedOn w:val="25"/>
    <w:qFormat/>
    <w:uiPriority w:val="99"/>
    <w:rPr>
      <w:sz w:val="21"/>
      <w:szCs w:val="21"/>
    </w:rPr>
  </w:style>
  <w:style w:type="character" w:customStyle="1" w:styleId="66">
    <w:name w:val="line-h301"/>
    <w:basedOn w:val="25"/>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5"/>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5"/>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kern w:val="0"/>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77">
    <w:name w:val="列出段落1"/>
    <w:basedOn w:val="1"/>
    <w:uiPriority w:val="99"/>
    <w:pPr>
      <w:ind w:firstLine="420" w:firstLineChars="200"/>
    </w:pPr>
  </w:style>
  <w:style w:type="paragraph" w:customStyle="1" w:styleId="78">
    <w:name w:val="列出段落11"/>
    <w:basedOn w:val="1"/>
    <w:uiPriority w:val="99"/>
    <w:pPr>
      <w:ind w:firstLine="420" w:firstLineChars="200"/>
    </w:pPr>
    <w:rPr>
      <w:rFonts w:ascii="Calibri" w:hAnsi="Calibri" w:cs="Calibri"/>
    </w:rPr>
  </w:style>
  <w:style w:type="character" w:customStyle="1" w:styleId="79">
    <w:name w:val="bb1"/>
    <w:uiPriority w:val="99"/>
    <w:rPr>
      <w:rFonts w:ascii="宋体" w:hAnsi="宋体" w:eastAsia="宋体" w:cs="宋体"/>
      <w:b/>
      <w:bCs/>
      <w:color w:val="auto"/>
      <w:sz w:val="21"/>
      <w:szCs w:val="21"/>
    </w:rPr>
  </w:style>
  <w:style w:type="paragraph" w:customStyle="1" w:styleId="80">
    <w:name w:val="列出段落2"/>
    <w:basedOn w:val="1"/>
    <w:uiPriority w:val="99"/>
    <w:pPr>
      <w:ind w:firstLine="420" w:firstLineChars="200"/>
    </w:pPr>
  </w:style>
  <w:style w:type="table" w:customStyle="1" w:styleId="81">
    <w:name w:val="Table Normal1"/>
    <w:uiPriority w:val="99"/>
    <w:pPr>
      <w:widowControl w:val="0"/>
    </w:pPr>
    <w:rPr>
      <w:kern w:val="0"/>
      <w:sz w:val="22"/>
      <w:lang w:eastAsia="en-US"/>
    </w:rPr>
    <w:tblPr>
      <w:tblLayout w:type="fixed"/>
      <w:tblCellMar>
        <w:top w:w="0" w:type="dxa"/>
        <w:left w:w="0" w:type="dxa"/>
        <w:bottom w:w="0" w:type="dxa"/>
        <w:right w:w="0" w:type="dxa"/>
      </w:tblCellMar>
    </w:tblPr>
  </w:style>
  <w:style w:type="paragraph" w:customStyle="1" w:styleId="82">
    <w:name w:val="标题 11"/>
    <w:basedOn w:val="1"/>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uiPriority w:val="99"/>
    <w:pPr>
      <w:jc w:val="left"/>
    </w:pPr>
    <w:rPr>
      <w:rFonts w:ascii="Calibri" w:hAnsi="Calibri" w:cs="Calibri"/>
      <w:kern w:val="0"/>
      <w:sz w:val="22"/>
      <w:szCs w:val="22"/>
      <w:lang w:eastAsia="en-US"/>
    </w:rPr>
  </w:style>
  <w:style w:type="paragraph" w:customStyle="1" w:styleId="84">
    <w:name w:val="List Paragraph1"/>
    <w:basedOn w:val="1"/>
    <w:uiPriority w:val="99"/>
    <w:pPr>
      <w:ind w:firstLine="420" w:firstLineChars="200"/>
    </w:pPr>
  </w:style>
  <w:style w:type="paragraph" w:customStyle="1" w:styleId="85">
    <w:name w:val="Char Char Char Char2"/>
    <w:basedOn w:val="1"/>
    <w:next w:val="1"/>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9291</Words>
  <Characters>9672</Characters>
  <Lines>0</Lines>
  <Paragraphs>0</Paragraphs>
  <TotalTime>0</TotalTime>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user</dc:creator>
  <cp:lastModifiedBy>Administrator</cp:lastModifiedBy>
  <cp:lastPrinted>2019-10-08T01:40:00Z</cp:lastPrinted>
  <dcterms:modified xsi:type="dcterms:W3CDTF">2020-06-08T02:42:06Z</dcterms:modified>
  <dc:title>金山建协简讯</dc:title>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