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4C1" w:rsidRDefault="00A614C1" w:rsidP="00D85A3D">
      <w:pPr>
        <w:snapToGrid w:val="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A614C1" w:rsidRDefault="00A614C1" w:rsidP="00D85A3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2020</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第四期</w:t>
      </w:r>
    </w:p>
    <w:p w:rsidR="00A614C1" w:rsidRDefault="00A614C1" w:rsidP="00D85A3D">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175</w:t>
      </w:r>
      <w:r>
        <w:rPr>
          <w:rFonts w:ascii="仿宋_GB2312" w:eastAsia="仿宋_GB2312" w:hAnsi="宋体" w:cs="仿宋_GB2312" w:hint="eastAsia"/>
          <w:color w:val="000000"/>
          <w:sz w:val="28"/>
          <w:szCs w:val="28"/>
        </w:rPr>
        <w:t>期</w:t>
      </w:r>
    </w:p>
    <w:p w:rsidR="00A614C1" w:rsidRDefault="00A614C1" w:rsidP="00D85A3D">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w:txbxContent>
                <w:p w:rsidR="00A614C1" w:rsidRDefault="00A614C1">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sidRPr="007D42E5">
        <w:rPr>
          <w:rFonts w:ascii="仿宋_GB2312" w:cs="宋体" w:hint="eastAsia"/>
          <w:sz w:val="28"/>
          <w:szCs w:val="28"/>
        </w:rPr>
        <w:t>○</w:t>
      </w:r>
      <w:r>
        <w:rPr>
          <w:rFonts w:ascii="仿宋_GB2312" w:eastAsia="仿宋_GB2312" w:hAnsi="宋体" w:cs="仿宋_GB2312" w:hint="eastAsia"/>
          <w:color w:val="000000"/>
          <w:sz w:val="28"/>
          <w:szCs w:val="28"/>
        </w:rPr>
        <w:t>二</w:t>
      </w:r>
      <w:r w:rsidRPr="007D42E5">
        <w:rPr>
          <w:rFonts w:ascii="仿宋_GB2312" w:cs="宋体" w:hint="eastAsia"/>
          <w:sz w:val="28"/>
          <w:szCs w:val="28"/>
        </w:rPr>
        <w:t>○</w:t>
      </w:r>
      <w:r>
        <w:rPr>
          <w:rFonts w:ascii="仿宋_GB2312" w:eastAsia="仿宋_GB2312" w:hAnsi="宋体" w:cs="仿宋_GB2312" w:hint="eastAsia"/>
          <w:color w:val="000000"/>
          <w:sz w:val="28"/>
          <w:szCs w:val="28"/>
        </w:rPr>
        <w:t>年五月十日</w:t>
      </w:r>
    </w:p>
    <w:p w:rsidR="00A614C1" w:rsidRDefault="00A614C1" w:rsidP="00D85A3D">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A614C1" w:rsidRDefault="00A614C1" w:rsidP="00175A87">
      <w:pPr>
        <w:pStyle w:val="Heading3"/>
        <w:spacing w:line="520" w:lineRule="exact"/>
        <w:rPr>
          <w:rFonts w:cs="Times New Roman"/>
        </w:rPr>
      </w:pPr>
      <w:r>
        <w:rPr>
          <w:rFonts w:cs="黑体" w:hint="eastAsia"/>
        </w:rPr>
        <w:t>【法律法规】</w:t>
      </w:r>
    </w:p>
    <w:p w:rsidR="00A614C1" w:rsidRPr="00483CCC" w:rsidRDefault="00A614C1" w:rsidP="00483CCC"/>
    <w:p w:rsidR="00A614C1" w:rsidRDefault="00A614C1" w:rsidP="00483CCC">
      <w:pPr>
        <w:spacing w:line="520" w:lineRule="exact"/>
        <w:jc w:val="center"/>
        <w:rPr>
          <w:rFonts w:ascii="黑体" w:eastAsia="黑体"/>
          <w:b/>
          <w:bCs/>
          <w:color w:val="000000"/>
          <w:sz w:val="32"/>
          <w:szCs w:val="32"/>
        </w:rPr>
      </w:pPr>
      <w:r w:rsidRPr="000407C1">
        <w:rPr>
          <w:rFonts w:ascii="黑体" w:eastAsia="黑体" w:cs="黑体"/>
          <w:b/>
          <w:bCs/>
          <w:color w:val="000000"/>
          <w:sz w:val="32"/>
          <w:szCs w:val="32"/>
        </w:rPr>
        <w:t>[</w:t>
      </w:r>
      <w:r w:rsidRPr="000407C1">
        <w:rPr>
          <w:rFonts w:ascii="黑体" w:eastAsia="黑体" w:cs="黑体" w:hint="eastAsia"/>
          <w:b/>
          <w:bCs/>
          <w:color w:val="000000"/>
          <w:sz w:val="32"/>
          <w:szCs w:val="32"/>
        </w:rPr>
        <w:t>国务院安委会</w:t>
      </w:r>
      <w:r w:rsidRPr="000407C1">
        <w:rPr>
          <w:rFonts w:ascii="黑体" w:eastAsia="黑体" w:cs="黑体"/>
          <w:b/>
          <w:bCs/>
          <w:color w:val="000000"/>
          <w:sz w:val="32"/>
          <w:szCs w:val="32"/>
        </w:rPr>
        <w:t>]</w:t>
      </w:r>
      <w:r w:rsidRPr="000407C1">
        <w:rPr>
          <w:rFonts w:ascii="黑体" w:eastAsia="黑体" w:cs="黑体" w:hint="eastAsia"/>
          <w:b/>
          <w:bCs/>
          <w:color w:val="000000"/>
          <w:sz w:val="32"/>
          <w:szCs w:val="32"/>
        </w:rPr>
        <w:t>关于印发《全国安全生产专项整治</w:t>
      </w:r>
    </w:p>
    <w:p w:rsidR="00A614C1" w:rsidRDefault="00A614C1" w:rsidP="00483CCC">
      <w:pPr>
        <w:spacing w:line="520" w:lineRule="exact"/>
        <w:jc w:val="center"/>
        <w:rPr>
          <w:rFonts w:ascii="仿宋_GB2312" w:eastAsia="仿宋_GB2312" w:hAnsi="Calibri"/>
          <w:sz w:val="28"/>
          <w:szCs w:val="28"/>
        </w:rPr>
      </w:pPr>
      <w:r w:rsidRPr="000407C1">
        <w:rPr>
          <w:rFonts w:ascii="黑体" w:eastAsia="黑体" w:cs="黑体" w:hint="eastAsia"/>
          <w:b/>
          <w:bCs/>
          <w:color w:val="000000"/>
          <w:sz w:val="32"/>
          <w:szCs w:val="32"/>
        </w:rPr>
        <w:t>三年行动计划》的通知</w:t>
      </w:r>
    </w:p>
    <w:p w:rsidR="00A614C1" w:rsidRPr="000407C1" w:rsidRDefault="00A614C1" w:rsidP="00483CCC">
      <w:pPr>
        <w:spacing w:line="520" w:lineRule="exact"/>
        <w:jc w:val="center"/>
        <w:rPr>
          <w:rFonts w:ascii="仿宋_GB2312" w:eastAsia="仿宋_GB2312" w:hAnsi="Calibri"/>
          <w:sz w:val="28"/>
          <w:szCs w:val="28"/>
        </w:rPr>
      </w:pPr>
      <w:r w:rsidRPr="000407C1">
        <w:rPr>
          <w:rFonts w:ascii="仿宋_GB2312" w:eastAsia="仿宋_GB2312" w:hAnsi="Calibri" w:cs="仿宋_GB2312" w:hint="eastAsia"/>
        </w:rPr>
        <w:t>安委（</w:t>
      </w:r>
      <w:r w:rsidRPr="000407C1">
        <w:rPr>
          <w:rFonts w:ascii="仿宋_GB2312" w:eastAsia="仿宋_GB2312" w:hAnsi="Calibri" w:cs="仿宋_GB2312"/>
        </w:rPr>
        <w:t>2020</w:t>
      </w:r>
      <w:r w:rsidRPr="000407C1">
        <w:rPr>
          <w:rFonts w:ascii="仿宋_GB2312" w:eastAsia="仿宋_GB2312" w:hAnsi="Calibri" w:cs="仿宋_GB2312" w:hint="eastAsia"/>
        </w:rPr>
        <w:t>）</w:t>
      </w:r>
      <w:r w:rsidRPr="000407C1">
        <w:rPr>
          <w:rFonts w:ascii="仿宋_GB2312" w:eastAsia="仿宋_GB2312" w:hAnsi="Calibri" w:cs="仿宋_GB2312"/>
        </w:rPr>
        <w:t>3</w:t>
      </w:r>
      <w:r w:rsidRPr="000407C1">
        <w:rPr>
          <w:rFonts w:ascii="仿宋_GB2312" w:eastAsia="仿宋_GB2312" w:hAnsi="Calibri" w:cs="仿宋_GB2312" w:hint="eastAsia"/>
        </w:rPr>
        <w:t>号</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hint="eastAsia"/>
          <w:sz w:val="28"/>
          <w:szCs w:val="28"/>
        </w:rPr>
        <w:t>各省、自治区、直辖市人民政府及新疆生产建设兵团，国务院安委会各成员单位，有关中央企业：</w:t>
      </w:r>
    </w:p>
    <w:p w:rsidR="00A614C1" w:rsidRPr="000407C1" w:rsidRDefault="00A614C1" w:rsidP="00483CCC">
      <w:pPr>
        <w:spacing w:line="520" w:lineRule="exact"/>
        <w:ind w:firstLine="570"/>
        <w:rPr>
          <w:rFonts w:ascii="仿宋_GB2312" w:eastAsia="仿宋_GB2312" w:hAnsi="Calibri"/>
          <w:sz w:val="28"/>
          <w:szCs w:val="28"/>
        </w:rPr>
      </w:pPr>
      <w:r w:rsidRPr="000407C1">
        <w:rPr>
          <w:rFonts w:ascii="仿宋_GB2312" w:eastAsia="仿宋_GB2312" w:hAnsi="Calibri" w:cs="仿宋_GB2312" w:hint="eastAsia"/>
          <w:sz w:val="28"/>
          <w:szCs w:val="28"/>
        </w:rPr>
        <w:t>《全国安全生产专项整治三年行动计划》已经中央领导同志同意，现印发给你们，请结合实际认真贯彻落实。</w:t>
      </w:r>
    </w:p>
    <w:p w:rsidR="00A614C1" w:rsidRPr="000407C1" w:rsidRDefault="00A614C1" w:rsidP="00483CCC">
      <w:pPr>
        <w:spacing w:line="520" w:lineRule="exact"/>
        <w:ind w:firstLine="570"/>
        <w:jc w:val="right"/>
        <w:rPr>
          <w:rFonts w:ascii="仿宋_GB2312" w:eastAsia="仿宋_GB2312" w:hAnsi="Calibri"/>
          <w:sz w:val="28"/>
          <w:szCs w:val="28"/>
        </w:rPr>
      </w:pPr>
      <w:r w:rsidRPr="000407C1">
        <w:rPr>
          <w:rFonts w:ascii="仿宋_GB2312" w:eastAsia="仿宋_GB2312" w:hAnsi="Calibri" w:cs="仿宋_GB2312" w:hint="eastAsia"/>
          <w:sz w:val="28"/>
          <w:szCs w:val="28"/>
        </w:rPr>
        <w:t>国务院安全生产委员会</w:t>
      </w:r>
    </w:p>
    <w:p w:rsidR="00A614C1" w:rsidRPr="000407C1" w:rsidRDefault="00A614C1" w:rsidP="00483CCC">
      <w:pPr>
        <w:spacing w:line="520" w:lineRule="exact"/>
        <w:ind w:firstLine="570"/>
        <w:jc w:val="right"/>
        <w:rPr>
          <w:rFonts w:ascii="仿宋_GB2312" w:eastAsia="仿宋_GB2312" w:hAnsi="Calibri"/>
          <w:sz w:val="28"/>
          <w:szCs w:val="28"/>
        </w:rPr>
      </w:pP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4</w:t>
      </w:r>
      <w:r w:rsidRPr="000407C1">
        <w:rPr>
          <w:rFonts w:ascii="仿宋_GB2312" w:eastAsia="仿宋_GB2312" w:hAnsi="Calibri" w:cs="仿宋_GB2312" w:hint="eastAsia"/>
          <w:sz w:val="28"/>
          <w:szCs w:val="28"/>
        </w:rPr>
        <w:t>月</w:t>
      </w:r>
      <w:r w:rsidRPr="000407C1">
        <w:rPr>
          <w:rFonts w:ascii="仿宋_GB2312" w:eastAsia="仿宋_GB2312" w:hAnsi="Calibri" w:cs="仿宋_GB2312"/>
          <w:sz w:val="28"/>
          <w:szCs w:val="28"/>
        </w:rPr>
        <w:t>1</w:t>
      </w:r>
      <w:r w:rsidRPr="000407C1">
        <w:rPr>
          <w:rFonts w:ascii="仿宋_GB2312" w:eastAsia="仿宋_GB2312" w:hAnsi="Calibri" w:cs="仿宋_GB2312" w:hint="eastAsia"/>
          <w:sz w:val="28"/>
          <w:szCs w:val="28"/>
        </w:rPr>
        <w:t>日</w:t>
      </w:r>
    </w:p>
    <w:p w:rsidR="00A614C1" w:rsidRPr="00EE3FE5" w:rsidRDefault="00A614C1" w:rsidP="00483CCC">
      <w:pPr>
        <w:spacing w:line="520" w:lineRule="exact"/>
        <w:jc w:val="center"/>
        <w:rPr>
          <w:rFonts w:ascii="仿宋_GB2312" w:eastAsia="仿宋_GB2312" w:hAnsi="Calibri"/>
          <w:b/>
          <w:bCs/>
          <w:sz w:val="28"/>
          <w:szCs w:val="28"/>
        </w:rPr>
      </w:pPr>
      <w:r w:rsidRPr="00EE3FE5">
        <w:rPr>
          <w:rFonts w:ascii="仿宋_GB2312" w:eastAsia="仿宋_GB2312" w:hAnsi="Calibri" w:cs="仿宋_GB2312" w:hint="eastAsia"/>
          <w:b/>
          <w:bCs/>
          <w:sz w:val="28"/>
          <w:szCs w:val="28"/>
        </w:rPr>
        <w:t>全国安全生产专项整治三年行动计划</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为认真贯彻落实习近平总书记关于安全生产重要论述</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特别是近期作出的“从根本消除事故隐患”的重要指示精神</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按照李克强总理和韩正、刘鹤、王勇、赵克志等国务院领导同志批示要求</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制定全国安全生产专项整治三年行动计划总方案和</w:t>
      </w:r>
      <w:r w:rsidRPr="000407C1">
        <w:rPr>
          <w:rFonts w:ascii="仿宋_GB2312" w:eastAsia="仿宋_GB2312" w:hAnsi="Calibri" w:cs="仿宋_GB2312"/>
          <w:sz w:val="28"/>
          <w:szCs w:val="28"/>
        </w:rPr>
        <w:t>2</w:t>
      </w:r>
      <w:r w:rsidRPr="000407C1">
        <w:rPr>
          <w:rFonts w:ascii="仿宋_GB2312" w:eastAsia="仿宋_GB2312" w:hAnsi="Calibri" w:cs="仿宋_GB2312" w:hint="eastAsia"/>
          <w:sz w:val="28"/>
          <w:szCs w:val="28"/>
        </w:rPr>
        <w:t>个专题实施方案、</w:t>
      </w:r>
      <w:r w:rsidRPr="000407C1">
        <w:rPr>
          <w:rFonts w:ascii="仿宋_GB2312" w:eastAsia="仿宋_GB2312" w:hAnsi="Calibri" w:cs="仿宋_GB2312"/>
          <w:sz w:val="28"/>
          <w:szCs w:val="28"/>
        </w:rPr>
        <w:t>9</w:t>
      </w:r>
      <w:r w:rsidRPr="000407C1">
        <w:rPr>
          <w:rFonts w:ascii="仿宋_GB2312" w:eastAsia="仿宋_GB2312" w:hAnsi="Calibri" w:cs="仿宋_GB2312" w:hint="eastAsia"/>
          <w:sz w:val="28"/>
          <w:szCs w:val="28"/>
        </w:rPr>
        <w:t>个专项整治实施方案。</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一、总体要求</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以习近平新时代中国特色社会主义思想为指导，全面贯彻党的十九大和十九届二中、三中、四中全会精神</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深入贯彻习近平总书记关于安全生产重要论述</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树牢安全发展理念</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强化底线思维和红线意识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坚持问题导向、目标导向和结果导向</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深化源头治理、系统治理和综合治理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切实在转变理念、狠抓治本上下功夫</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完善和落实重在“从根本上消除事故隐患”的责任链条、制度成果、管理办法、重点工程和工作机制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扎实推进安全生产治理体系和治理能力现代化</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专项整治取得积极成效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事故总量和较大事故持续下降</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重特大事故有效遏制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全国安全生产整体水平明显提高</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为全面维护好人民群众生命财产安全和经济高质量发展、社会和谐稳定提供有力的安全生产保障。</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二、主要任务</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推动地方各级党委政府、有关部门和企业单位坚持以习近平总书记关于安全生产重要论述武装头脑、指导实践</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务必把安全生产摆到重要位置</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切实解决思想认知不足、安全发展理念不牢和抓落实存在很大差距等突出问题</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完善和落实安全生产责任和管理制度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健全落实党政同责、一岗双责、齐抓共管、失职追责的安全生产责任制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强化党委政府领导责任、部门监管责任和企业主体责任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建立公共安全隐患排查和安全预防控制体系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推进安全生产由企业被动接受监管向主动加强管理转变、安全风险管控由政府推动为主向企业自主开展转变、隐患排查治理由部门行政执法为主向企业日常自查自纠转交</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完善安全生产体制机制法制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大力推动科技创新</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持续加强基础建设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全面提升本质安全水平。重点分</w:t>
      </w:r>
      <w:r w:rsidRPr="000407C1">
        <w:rPr>
          <w:rFonts w:ascii="仿宋_GB2312" w:eastAsia="仿宋_GB2312" w:hAnsi="Calibri" w:cs="仿宋_GB2312"/>
          <w:sz w:val="28"/>
          <w:szCs w:val="28"/>
        </w:rPr>
        <w:t>2</w:t>
      </w:r>
      <w:r w:rsidRPr="000407C1">
        <w:rPr>
          <w:rFonts w:ascii="仿宋_GB2312" w:eastAsia="仿宋_GB2312" w:hAnsi="Calibri" w:cs="仿宋_GB2312" w:hint="eastAsia"/>
          <w:sz w:val="28"/>
          <w:szCs w:val="28"/>
        </w:rPr>
        <w:t>个专题和</w:t>
      </w:r>
      <w:r w:rsidRPr="000407C1">
        <w:rPr>
          <w:rFonts w:ascii="仿宋_GB2312" w:eastAsia="仿宋_GB2312" w:hAnsi="Calibri" w:cs="仿宋_GB2312"/>
          <w:sz w:val="28"/>
          <w:szCs w:val="28"/>
        </w:rPr>
        <w:t>9</w:t>
      </w:r>
      <w:r w:rsidRPr="000407C1">
        <w:rPr>
          <w:rFonts w:ascii="仿宋_GB2312" w:eastAsia="仿宋_GB2312" w:hAnsi="Calibri" w:cs="仿宋_GB2312" w:hint="eastAsia"/>
          <w:sz w:val="28"/>
          <w:szCs w:val="28"/>
        </w:rPr>
        <w:t>个行业领域深入推动实施。</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学习宣传贯彻习近平总书记关于安全生产重要论述专题。一是制作“生命重于泰山</w:t>
      </w:r>
      <w:r w:rsidRPr="000407C1">
        <w:rPr>
          <w:rFonts w:ascii="仿宋_GB2312" w:eastAsia="仿宋_GB2312" w:hAnsi="Calibri" w:cs="Calibri"/>
          <w:sz w:val="28"/>
          <w:szCs w:val="28"/>
        </w:rPr>
        <w:t>—</w:t>
      </w:r>
      <w:r w:rsidRPr="000407C1">
        <w:rPr>
          <w:rFonts w:ascii="仿宋_GB2312" w:eastAsia="仿宋_GB2312" w:hAnsi="Calibri" w:cs="仿宋_GB2312" w:hint="eastAsia"/>
          <w:sz w:val="28"/>
          <w:szCs w:val="28"/>
        </w:rPr>
        <w:t>学习习近平总书记关于安全生产重要论述”电视专题片。制作完成后报中央办公厅审定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发各地区、各有关部门和单位组织集中观看学习。中央宣传部、国家广播电视总局安排中央电视台和地方电视台播出专题片公开版。二是集中开展学习教育。各级党委</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党组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理论学习中心组安排专题学习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结合本地区本行业实际研究贯彻落实措施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分级分批组织安全监管干部和企业负责人、安全管理人员开展轮训</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推进学习教育全覆盖。三是深入系统宣传贯彻。各级党委将宣传贯彻习近平总书记关于安全生产重要论述纳入党委宣传工作重点</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精心制定宣传方案，部署开展经常性、系统性宣传贯彻和主题宣讲活动，形成集中宣传声势。中央和地方、行业主要媒体开设专题专栏。结合组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织“安全生产月”活动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积极推进安全宣传“五进”。建设灾害事故科普宣传教育和安全体验基地。四是健全落实安全生产责任制。认真落实《地方党政领导干部安全生产责任制规定》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健全定期研究解决安全生产重大问题的会议制度。各有关部门要把安全生产工作作为本行业领域管理的重要内容</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切实消除盲区漏洞。建立健全企业全过程安全生产管理制度。五是有效防范安全风险。建立公共安全隐患排查和安全预防控制体系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建立安全风险评估制度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修订完善安全设防标准。突出重点行业领域开展专项整治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将特别重视加强化工、桥梁、隧道、电力、油气、水利、核电等重大工程和设施安全风险防控</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强化规划设计、建设施工、运营管理等各个环节的安全责任措施落实</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确保万无一失。深入贯彻落实《中共中央</w:t>
      </w: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国务院关于推进安全生产领域改革发展的意见》</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深化矿山安全监寨、危险化学品安全监管和安全生产执法体制改革</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推进国家和地方安全生产立法工作。六是加强安全监管干部队伍建设。</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年底前具有安全生产相关专业学历和实践经验的执法人员不低于在职人员的</w:t>
      </w:r>
      <w:r w:rsidRPr="000407C1">
        <w:rPr>
          <w:rFonts w:ascii="仿宋_GB2312" w:eastAsia="仿宋_GB2312" w:hAnsi="Calibri" w:cs="仿宋_GB2312"/>
          <w:sz w:val="28"/>
          <w:szCs w:val="28"/>
        </w:rPr>
        <w:t>75%</w:t>
      </w:r>
      <w:r w:rsidRPr="000407C1">
        <w:rPr>
          <w:rFonts w:ascii="仿宋_GB2312" w:eastAsia="仿宋_GB2312" w:hAnsi="Calibri" w:cs="仿宋_GB2312" w:hint="eastAsia"/>
          <w:sz w:val="28"/>
          <w:szCs w:val="28"/>
        </w:rPr>
        <w:t>。出台安全生产行政执法队伍建设规划和标准导则</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联合教育部门加快安全生产学科建设。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中央组织部、中央宣传部、中央编办、教育部、司法部等按职责分工负责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地方各级党委和政府负责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以下均需要地方各级党委和政府负责，不再列出）</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落实企业安全生产主体责任专题。一是提高企业安全管理能力</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制定落实企业安全生产主体责任若干规定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强化企业法定代表人、实际控制人的第一责任人法定责任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加强安全考核</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落实全员安全生产责任制</w:t>
      </w:r>
      <w:r w:rsidRPr="000407C1">
        <w:rPr>
          <w:rFonts w:ascii="仿宋_GB2312" w:eastAsia="仿宋_GB2312" w:hAnsi="Calibri" w:cs="仿宋_GB2312"/>
          <w:sz w:val="28"/>
          <w:szCs w:val="28"/>
        </w:rPr>
        <w:t>,2021</w:t>
      </w:r>
      <w:r w:rsidRPr="000407C1">
        <w:rPr>
          <w:rFonts w:ascii="仿宋_GB2312" w:eastAsia="仿宋_GB2312" w:hAnsi="Calibri" w:cs="仿宋_GB2312" w:hint="eastAsia"/>
          <w:sz w:val="28"/>
          <w:szCs w:val="28"/>
        </w:rPr>
        <w:t>年底前各重点行业领域企业通过自身培养和市场化机制全部建立安全生产技术和管理团队。二是推动企业定期开展安全风险评估和危害辨识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针对高危工艺、设备、物品、场所和岗位等</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加强动态分级管理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落实风险防控措施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实现可防可控</w:t>
      </w:r>
      <w:r w:rsidRPr="000407C1">
        <w:rPr>
          <w:rFonts w:ascii="仿宋_GB2312" w:eastAsia="仿宋_GB2312" w:hAnsi="Calibri" w:cs="仿宋_GB2312"/>
          <w:sz w:val="28"/>
          <w:szCs w:val="28"/>
        </w:rPr>
        <w:t>,2021</w:t>
      </w:r>
      <w:r w:rsidRPr="000407C1">
        <w:rPr>
          <w:rFonts w:ascii="仿宋_GB2312" w:eastAsia="仿宋_GB2312" w:hAnsi="Calibri" w:cs="仿宋_GB2312" w:hint="eastAsia"/>
          <w:sz w:val="28"/>
          <w:szCs w:val="28"/>
        </w:rPr>
        <w:t>年底前各类企业建立完善的安全风险防控体系。三是建立完善隐患排查治理体系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规范分级分类排查治理标准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明确“查什么怎么查”“做什么怎么做</w:t>
      </w:r>
      <w:r w:rsidRPr="000407C1">
        <w:rPr>
          <w:rFonts w:ascii="仿宋_GB2312" w:eastAsia="仿宋_GB2312" w:hAnsi="Calibri" w:cs="仿宋_GB2312"/>
          <w:sz w:val="28"/>
          <w:szCs w:val="28"/>
        </w:rPr>
        <w:t>",2021</w:t>
      </w:r>
      <w:r w:rsidRPr="000407C1">
        <w:rPr>
          <w:rFonts w:ascii="仿宋_GB2312" w:eastAsia="仿宋_GB2312" w:hAnsi="Calibri" w:cs="仿宋_GB2312" w:hint="eastAsia"/>
          <w:sz w:val="28"/>
          <w:szCs w:val="28"/>
        </w:rPr>
        <w:t>年底前建立企业“一张网”信息化管理系统</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做到自查自改自报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实现动态分析、全过程记录和评价</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防止漏管失控。四是督促企业加大安全投入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用足用好企业安全生产费用提取使用、支持安全技术设备设施改造等有关财税政策</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重点用于风险防控和隐患排查治理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推进各重点行业领域机械化、信息化、智能化建设。通过实施安责险</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加快建立保险机构和专业技术服务机构等广泛参与的安全生产社会化服务体系。五是大力开展安全生产标准化规范建设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分行业领域明确</w:t>
      </w:r>
      <w:r w:rsidRPr="000407C1">
        <w:rPr>
          <w:rFonts w:ascii="仿宋_GB2312" w:eastAsia="仿宋_GB2312" w:hAnsi="Calibri" w:cs="仿宋_GB2312"/>
          <w:sz w:val="28"/>
          <w:szCs w:val="28"/>
        </w:rPr>
        <w:t>3</w:t>
      </w:r>
      <w:r w:rsidRPr="000407C1">
        <w:rPr>
          <w:rFonts w:ascii="仿宋_GB2312" w:eastAsia="仿宋_GB2312" w:hAnsi="Calibri" w:cs="仿宋_GB2312" w:hint="eastAsia"/>
          <w:sz w:val="28"/>
          <w:szCs w:val="28"/>
        </w:rPr>
        <w:t>年建设任务，突出企业安全生产工作的日常化、显性化</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建立自我约束、持续改进的内生机制，实现安全生产现场管理、操作行为、设备设施和作业环境的规范化。六是加强企业安全管理制度建设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完善和落实企业安全生产诚信、承诺公告、举报奖励和教育培训等制度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建立健全企业风险管控和隐患排查治理情况向负有安全生产监督管理职责的部门和企业职代会“双报告”制度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自觉接受监督。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国家发展改革委、工业和信息化部、财政部、住房城乡建设部、交通运输部、商务部、国务院国资委、市场监管总治局、中国银保监会、国家能源局、国家铁路局、中国民航局、国家邮冲政局、国家煤矿安监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三</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危险化学品安全整治。一是制定贯彻落实《中共中央办公厅</w:t>
      </w: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国务院办公厅关于全面加强危险化学品安全生产工作的意》具体方案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推动各项制度措施落地见效。二是完善和落实危险是化学品企业安全风险隐患排查治理导则</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分级分类排查治理安全强风险和隐患</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年底前涉及重大危险源的危险化学品企业完成产安全风险分级管控和隐患排查治理体系建设。三是督促指导各地区制定完善新建化工项目准入条件及危险化学品“禁限控”目录</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研究企业生产过程危险化学品在线量减量技术路线、储存量减量本方案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严格控制涉及光气等有毒气体、硝酸铵等爆炸危险性化学品扣的建设项目。四是积极推广应用泄漏检测、化工过程安全管理等先进技术方法，</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年底前所有涉及硝化、氯化、氟化、重氮化、过程氧化工艺装置的上下游配套装置必须实现自动化控制。五是完善治理落实城区危险化学品生产企业关停并转、退城入园等支持政策措施</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年底前完成城镇人口密集区中小型企业和存在重大风险隐患的大型危险化学品生产企业搬迁工程</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并持续推进其他有关企业搬迁改造。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工业和信息化部、公安部、国务</w:t>
      </w:r>
      <w:r w:rsidRPr="000407C1">
        <w:rPr>
          <w:rFonts w:ascii="仿宋_GB2312" w:eastAsia="仿宋_GB2312" w:hAnsi="Calibri" w:cs="仿宋_GB2312"/>
          <w:sz w:val="28"/>
          <w:szCs w:val="28"/>
        </w:rPr>
        <w:t>1</w:t>
      </w:r>
      <w:r w:rsidRPr="000407C1">
        <w:rPr>
          <w:rFonts w:ascii="仿宋_GB2312" w:eastAsia="仿宋_GB2312" w:hAnsi="Calibri" w:cs="仿宋_GB2312" w:hint="eastAsia"/>
          <w:sz w:val="28"/>
          <w:szCs w:val="28"/>
        </w:rPr>
        <w:t>院国资委、市场监管总局等按职责分工负责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四</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煤矿安全整治。一是加大冲击地压、煤与瓦斯突出和水害等重大灾害精准治理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在“十四五”时期推进实施一批瓦斯综合治理和水害、火灾、冲击地压防治工程</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研究建立煤矿深部开采和冲击地压防治国家工程研究中心</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加大重大灾害治理政策和资金支持。二是加大淘汰退出落后产能力度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积极推进</w:t>
      </w:r>
      <w:r w:rsidRPr="000407C1">
        <w:rPr>
          <w:rFonts w:ascii="仿宋_GB2312" w:eastAsia="仿宋_GB2312" w:hAnsi="Calibri" w:cs="仿宋_GB2312"/>
          <w:sz w:val="28"/>
          <w:szCs w:val="28"/>
        </w:rPr>
        <w:t>30</w:t>
      </w:r>
      <w:r w:rsidRPr="000407C1">
        <w:rPr>
          <w:rFonts w:ascii="仿宋_GB2312" w:eastAsia="仿宋_GB2312" w:hAnsi="Calibri" w:cs="仿宋_GB2312" w:hint="eastAsia"/>
          <w:sz w:val="28"/>
          <w:szCs w:val="28"/>
        </w:rPr>
        <w:t>万吨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年以下煤矿分类处置</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坚决关闭不具备安全生产条件的煤矿</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全国煤矿数量减少至</w:t>
      </w:r>
      <w:r w:rsidRPr="000407C1">
        <w:rPr>
          <w:rFonts w:ascii="仿宋_GB2312" w:eastAsia="仿宋_GB2312" w:hAnsi="Calibri" w:cs="仿宋_GB2312"/>
          <w:sz w:val="28"/>
          <w:szCs w:val="28"/>
        </w:rPr>
        <w:t>4000</w:t>
      </w:r>
      <w:r w:rsidRPr="000407C1">
        <w:rPr>
          <w:rFonts w:ascii="仿宋_GB2312" w:eastAsia="仿宋_GB2312" w:hAnsi="Calibri" w:cs="仿宋_GB2312" w:hint="eastAsia"/>
          <w:sz w:val="28"/>
          <w:szCs w:val="28"/>
        </w:rPr>
        <w:t>处左右</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大型煤矿产量占比达到</w:t>
      </w:r>
      <w:r w:rsidRPr="000407C1">
        <w:rPr>
          <w:rFonts w:ascii="仿宋_GB2312" w:eastAsia="仿宋_GB2312" w:hAnsi="Calibri" w:cs="仿宋_GB2312"/>
          <w:sz w:val="28"/>
          <w:szCs w:val="28"/>
        </w:rPr>
        <w:t>80%</w:t>
      </w:r>
      <w:r w:rsidRPr="000407C1">
        <w:rPr>
          <w:rFonts w:ascii="仿宋_GB2312" w:eastAsia="仿宋_GB2312" w:hAnsi="Calibri" w:cs="仿宋_GB2312" w:hint="eastAsia"/>
          <w:sz w:val="28"/>
          <w:szCs w:val="28"/>
        </w:rPr>
        <w:t>以上。三是坚持资源合理开发利用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科学划定开采范围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规范采矿秩序</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加强整合技改扩能煤矿安全监管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对不按批复设计施工、边建设边生产的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取消整合技改资格。四是坚持“管理、装备、素质、系统”四并重原则</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推进“一优三减”</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规范用工管理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提高员工素质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加快推进机械化、自动化、信息化、智能化建设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灾害严重矿井采掘工作面基本实现智能化</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力争采掘智能化工作面达到</w:t>
      </w:r>
      <w:r w:rsidRPr="000407C1">
        <w:rPr>
          <w:rFonts w:ascii="仿宋_GB2312" w:eastAsia="仿宋_GB2312" w:hAnsi="Calibri" w:cs="仿宋_GB2312"/>
          <w:sz w:val="28"/>
          <w:szCs w:val="28"/>
        </w:rPr>
        <w:t>1000</w:t>
      </w:r>
      <w:r w:rsidRPr="000407C1">
        <w:rPr>
          <w:rFonts w:ascii="仿宋_GB2312" w:eastAsia="仿宋_GB2312" w:hAnsi="Calibri" w:cs="仿宋_GB2312" w:hint="eastAsia"/>
          <w:sz w:val="28"/>
          <w:szCs w:val="28"/>
        </w:rPr>
        <w:t>个以上</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建设一批智能化矿井</w:t>
      </w:r>
      <w:r w:rsidRPr="000407C1">
        <w:rPr>
          <w:rFonts w:ascii="仿宋_GB2312" w:eastAsia="仿宋_GB2312" w:hAnsi="Calibri" w:cs="仿宋_GB2312"/>
          <w:sz w:val="28"/>
          <w:szCs w:val="28"/>
        </w:rPr>
        <w:t xml:space="preserve"> 2022</w:t>
      </w:r>
      <w:r w:rsidRPr="000407C1">
        <w:rPr>
          <w:rFonts w:ascii="仿宋_GB2312" w:eastAsia="仿宋_GB2312" w:hAnsi="Calibri" w:cs="仿宋_GB2312" w:hint="eastAsia"/>
          <w:sz w:val="28"/>
          <w:szCs w:val="28"/>
        </w:rPr>
        <w:t>年底前全国一、二级安全生产标准化管理体系达标煤矿占比</w:t>
      </w:r>
      <w:r w:rsidRPr="000407C1">
        <w:rPr>
          <w:rFonts w:ascii="仿宋_GB2312" w:eastAsia="仿宋_GB2312" w:hAnsi="Calibri" w:cs="仿宋_GB2312"/>
          <w:sz w:val="28"/>
          <w:szCs w:val="28"/>
        </w:rPr>
        <w:t>70%</w:t>
      </w:r>
      <w:r w:rsidRPr="000407C1">
        <w:rPr>
          <w:rFonts w:ascii="仿宋_GB2312" w:eastAsia="仿宋_GB2312" w:hAnsi="Calibri" w:cs="仿宋_GB2312" w:hint="eastAsia"/>
          <w:sz w:val="28"/>
          <w:szCs w:val="28"/>
        </w:rPr>
        <w:t>以上。五是提高执法能力质量和信息化远程监管监察水平</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生产建设矿井基本实现远程监管监察。</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人力资源社会保障部、自然资源部、国家能源局、国家煤矿安监局等按职责分工负责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五</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非煤矿山安全整治。一是严格非煤矿山建设项目安全设施设计审查和企业安全生产许可</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深入推进整顿关闭</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年底前关闭不符合安全生产条件的非煤矿山</w:t>
      </w:r>
      <w:r w:rsidRPr="000407C1">
        <w:rPr>
          <w:rFonts w:ascii="仿宋_GB2312" w:eastAsia="仿宋_GB2312" w:hAnsi="Calibri" w:cs="仿宋_GB2312"/>
          <w:sz w:val="28"/>
          <w:szCs w:val="28"/>
        </w:rPr>
        <w:t>4000</w:t>
      </w:r>
      <w:r w:rsidRPr="000407C1">
        <w:rPr>
          <w:rFonts w:ascii="仿宋_GB2312" w:eastAsia="仿宋_GB2312" w:hAnsi="Calibri" w:cs="仿宋_GB2312" w:hint="eastAsia"/>
          <w:sz w:val="28"/>
          <w:szCs w:val="28"/>
        </w:rPr>
        <w:t>座以上。二是制定实施非煤矿山安全风险分级管控工作指南</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严防地下矿山中毒窒息、火灾、跑车坠罐、透水、冒顶片帮</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露天矿山坍塌、爆炸等事故</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严厉打击外包工程以包代管、包而不管等违法违规行为。三是认真落实</w:t>
      </w:r>
      <w:r w:rsidRPr="000407C1">
        <w:rPr>
          <w:rFonts w:ascii="仿宋_GB2312" w:eastAsia="仿宋_GB2312" w:hAnsi="Calibri" w:cs="仿宋_GB2312"/>
          <w:sz w:val="28"/>
          <w:szCs w:val="28"/>
        </w:rPr>
        <w:t>8</w:t>
      </w:r>
      <w:r w:rsidRPr="000407C1">
        <w:rPr>
          <w:rFonts w:ascii="仿宋_GB2312" w:eastAsia="仿宋_GB2312" w:hAnsi="Calibri" w:cs="仿宋_GB2312" w:hint="eastAsia"/>
          <w:sz w:val="28"/>
          <w:szCs w:val="28"/>
        </w:rPr>
        <w:t>部门印发的防范化解尾矿库安全风险工作方案，落实地方领导干部尾矿库安全包保责任制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严格控制增量、减少存量</w:t>
      </w: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年底前起尾矿库数量原则上只减不增</w:t>
      </w:r>
      <w:r w:rsidRPr="000407C1">
        <w:rPr>
          <w:rFonts w:ascii="仿宋_GB2312" w:eastAsia="仿宋_GB2312" w:hAnsi="Calibri" w:cs="仿宋_GB2312"/>
          <w:sz w:val="28"/>
          <w:szCs w:val="28"/>
        </w:rPr>
        <w:t>,2021</w:t>
      </w:r>
      <w:r w:rsidRPr="000407C1">
        <w:rPr>
          <w:rFonts w:ascii="仿宋_GB2312" w:eastAsia="仿宋_GB2312" w:hAnsi="Calibri" w:cs="仿宋_GB2312" w:hint="eastAsia"/>
          <w:sz w:val="28"/>
          <w:szCs w:val="28"/>
        </w:rPr>
        <w:t>年底全面完成“头顶库”治理</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年底前尾矿库在线监测系统安装达到</w:t>
      </w:r>
      <w:r w:rsidRPr="000407C1">
        <w:rPr>
          <w:rFonts w:ascii="仿宋_GB2312" w:eastAsia="仿宋_GB2312" w:hAnsi="Calibri" w:cs="仿宋_GB2312"/>
          <w:sz w:val="28"/>
          <w:szCs w:val="28"/>
        </w:rPr>
        <w:t>100%</w:t>
      </w:r>
      <w:r w:rsidRPr="000407C1">
        <w:rPr>
          <w:rFonts w:ascii="仿宋_GB2312" w:eastAsia="仿宋_GB2312" w:hAnsi="Calibri" w:cs="仿宋_GB2312" w:hint="eastAsia"/>
          <w:sz w:val="28"/>
          <w:szCs w:val="28"/>
        </w:rPr>
        <w:t>。四是强化油气增储扩能安全保障</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重点管控高温高压、高含碗井并喷失控和硫化氢中毒风险</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严防抢进度、抢产能、压成本造成事故。五是加强深海油气开采安全技术攻关</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强化极端天气海洋石油安全风险管控措施。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自然资源部等按职责分工负责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六</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消防安全整治。一是组织开展打通消防“生命通道”工程</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指导各地制定实施“一城一策、一区一策”综合治理方案</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年年底前分类分批完成督办整改。二是针对高层建筑、大型商业综合体地下轨道交通、石油化工等重点场所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制定实施消防安全能力提升方案</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年底前实现标准化、规范化管理。三是聚焦老旧小区、电动车、外墙保温材料、彩钢板建筑、家庭加工作坊、“三合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”场所、城乡接合部、物流仓储等突出风险以及乡村火灾，分阶段集中开展排查整治</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年底前全面落实差异化风险管控措施。四是教育、民政、文化和旅游、卫生健康、宗教、文物等重点行业部门建立完善行业消防安全管理规定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明确</w:t>
      </w:r>
      <w:r w:rsidRPr="000407C1">
        <w:rPr>
          <w:rFonts w:ascii="仿宋_GB2312" w:eastAsia="仿宋_GB2312" w:hAnsi="Calibri" w:cs="仿宋_GB2312"/>
          <w:sz w:val="28"/>
          <w:szCs w:val="28"/>
        </w:rPr>
        <w:t>3</w:t>
      </w:r>
      <w:r w:rsidRPr="000407C1">
        <w:rPr>
          <w:rFonts w:ascii="仿宋_GB2312" w:eastAsia="仿宋_GB2312" w:hAnsi="Calibri" w:cs="仿宋_GB2312" w:hint="eastAsia"/>
          <w:sz w:val="28"/>
          <w:szCs w:val="28"/>
        </w:rPr>
        <w:t>年整治目标任务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推动本系统单位提升消防安全管理水平。五是积极推广应用消防安全联网监测、消防大数据分析研判等信息技术，推动建设基屋消防网格信息化管理平台</w:t>
      </w:r>
      <w:r w:rsidRPr="000407C1">
        <w:rPr>
          <w:rFonts w:ascii="仿宋_GB2312" w:eastAsia="仿宋_GB2312" w:hAnsi="Calibri" w:cs="仿宋_GB2312"/>
          <w:sz w:val="28"/>
          <w:szCs w:val="28"/>
        </w:rPr>
        <w:t>,2021</w:t>
      </w:r>
      <w:r w:rsidRPr="000407C1">
        <w:rPr>
          <w:rFonts w:ascii="仿宋_GB2312" w:eastAsia="仿宋_GB2312" w:hAnsi="Calibri" w:cs="仿宋_GB2312" w:hint="eastAsia"/>
          <w:sz w:val="28"/>
          <w:szCs w:val="28"/>
        </w:rPr>
        <w:t>年底前地级以上城市建成消防物联网监控系统</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年底前分级建成城市消防大数据库。</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教育部、公安部、民政部、自然资源部、住房城乡建设部、农业农村部、商务部、文化和旅游部、国家卫生健康委、市场监管总局、国家宗教事务局、国家文物局等按职责分工负责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七</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道路运输安全整治。一是深入实施公路安全生命防护工程</w:t>
      </w: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年完成</w:t>
      </w:r>
      <w:r w:rsidRPr="000407C1">
        <w:rPr>
          <w:rFonts w:ascii="仿宋_GB2312" w:eastAsia="仿宋_GB2312" w:hAnsi="Calibri" w:cs="仿宋_GB2312"/>
          <w:sz w:val="28"/>
          <w:szCs w:val="28"/>
        </w:rPr>
        <w:t>15</w:t>
      </w:r>
      <w:r w:rsidRPr="000407C1">
        <w:rPr>
          <w:rFonts w:ascii="仿宋_GB2312" w:eastAsia="仿宋_GB2312" w:hAnsi="Calibri" w:cs="仿宋_GB2312" w:hint="eastAsia"/>
          <w:sz w:val="28"/>
          <w:szCs w:val="28"/>
        </w:rPr>
        <w:t>万公里建设任务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巩固提升县乡公路安全隐患治理效果</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加快临水临崖、连续长陡下坡、急夸陡坡等隐患路段和危桥改造整治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推进团雾多发路段科学管控</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深化农村公路平交路口“千灯万带”示范工程</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推进实施干线公路灾害防治工程</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全面清理整治农村“马路市场”。二是依法加强对老旧客车和卧铺客车的重点监管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推动公交车安装驾驶区隔离设施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进一步提高大中型客车车身结构强度、座椅安装强度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增强车辆高速行驶稳定性、抗假覆性和防爆胎能力</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提高重载货车动力性能和制动性能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加强对货车辅助制动装置使用情况的监督检查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建立治超信息监管系统</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严格落实治超“一超四罚”措施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深化“百吨王”专项整治</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年基本消除货车非法改装、“大吨小标”等违法违规突出问题。三是加强危险货物道路运输安全管理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重点整治常压液体危险货物不合规罐车、非法夹带运输等违法违规行为</w:t>
      </w: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年出台实施统一的旅客乘坐客运车辆禁止携带和限制携带物品目录清单。四是督促运输企业落实主体责任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加强运输车辆和驾驶人动态监管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督促客运车辆司乘人员规范使用安全带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严格旅游客运安全全过程、全链条监管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对存在重大隐患的运输企业实施挂牌督办</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持续深化“离危风险企业“终生兼驾人员”等曝光行动。五是加强部门协同重合和信息共享</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依法严查严处客运车辆超速、超员、疲劳驾驶、动态监控装置应装未装、人为关闭等违法违规行为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坚决清查“黑服务区”“黑站点”“黑企业”“黑车”。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交通运输部、公安部牵头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工业和秘信息化部、农业农村部、文化和旅游部、应急管理部、市场监管总局等按职责分工负责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八</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交通运输</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民航、铁路、邮政、水上和城市轨道交通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和渔业船舶安全整治。一是强化可控飞行撞地、跑道安全、空中相撞与危险品运输等重点风险治理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深化机场净空保护、鸟击防范等安全专项整治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督促航空产品制造商加强生产质量体系建设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建立航空</w:t>
      </w:r>
      <w:r w:rsidRPr="000407C1">
        <w:rPr>
          <w:rFonts w:ascii="仿宋_GB2312" w:eastAsia="仿宋_GB2312" w:hAnsi="Calibri" w:cs="仿宋_GB2312"/>
          <w:sz w:val="28"/>
          <w:szCs w:val="28"/>
        </w:rPr>
        <w:t>i</w:t>
      </w:r>
      <w:r w:rsidRPr="000407C1">
        <w:rPr>
          <w:rFonts w:ascii="仿宋_GB2312" w:eastAsia="仿宋_GB2312" w:hAnsi="Calibri" w:cs="仿宋_GB2312" w:hint="eastAsia"/>
          <w:sz w:val="28"/>
          <w:szCs w:val="28"/>
        </w:rPr>
        <w:t>器消防教援真火实训基地。二是开展铁路沿线环境安全专项墓治，健全完善长效工作机制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落实铁路沿线环境安全治理各方责任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依法查处违规行为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开展危险货物运输安全专项整治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严厉打击非法托运、违规承运危险货物行为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整治危险货物储存场所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开展公铁水并行交汇地段安全专项整治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强化安全防护设施设置与管理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全面推进公跨铁立交桥固定资产移交</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严厉打击危及铁路运营安全的机动车违章驾驶行为。三是加强寄递渠道安全整治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升级收寄验视、实名收寄、过机安检“三位一体”防控模式</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坚决将危险化学品、易燃易爆物品等禁止寄递物品堵截在寄递渠道之外</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强化寄递企业安全生产基础能力建设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加强火灾、车辆安全、作业安全隐患排查治理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深化寄递安全综合治理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健全联合监管机制和应急管理机制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严格落实部门监管、属地管理和企业主体“三个责任”。四是加强“四类重点船舶”和“六区一线”重点水城安全监管，开展船舶港口的隐患排查治理和风险防控</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严厉打击渡船超航线、超乘客定额、超核定载重线、超核定抗风等级冒险航行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加强商渔船碰撞事故防范</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以港口客运和危险货物作业为重点</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强化港口安全管理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加快推进巡航救助一体化船艇和海事监管、航海保障装备设施、船舶应急设备库建设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开展航运枢纽大坝除险加固专项行动。五是加强综合交通枢纽和城市轨道交通运营管理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健全综合交通枢纽安全监管协调沟通工作机制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强化运营安全风险分级管控和隐患排查治理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加强设施设备维修及更新改造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提升设施设备运行可靠性</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开展城市轨道交通保护区专项整治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严厉打击违规施工作业、私搭乱建、堆放易燃易爆危险品等危及城市轨道交通运营安全的行为。六是强化“拖网、刺网、潜捕”三类隐患特别突出渔船和渔港水域安全监管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开展以渔船脱检脱管、船舶不适航、船员不适任和“脱编作业”为重点的专项整治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严厉打击渔船超员超载、超风级超航区冒险航行作业行为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全面提升依港管船管人管安全的能力和水平。</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交通运输部、农业农村部牵头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工业和信息化部、住房城乡建设部、应急管理部、市场监管总局、国家铁路局、中国民航局、国家邮政局等按职责分工负责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九</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城市建设安全整治。一是加强对各地城市规划建设管理工作的指导</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将城市安全韧性作为城市体检评估的重要内容</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将城市安全发展落实到城市规划建设管理的各个方面和各个环节</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充分运用现代科技和信息化手段，建立国家、省、市城市安全平自系，推动城市安全发展和可持续发展。二是指导地方全面排查挪用原有建筑物改建改用为酒店、饭店、学等人员聚集场所安全隐患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依法处违法建设、违规改变建筑主体结构或使用》排能等造成安全隐患行为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督导各地整治安全隐患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根据城市建设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技会出现的新情况</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明确建筑物所有权人、参建各方的主体责任以及和相关部门的监管责任。三是开展摸底调查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研究制定加强城市老督下空间利用和市政基础设施安全管理指导意见，推动各地开展综市地下基础设施信息及监测预警管理平台建设。四是完善燃气工程技术标准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健全燃气行业管理和事故防范长效机制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指导各地建立渣土受纳场常态监测机制、推动市政排水管网地理信息系统建设。五是指导各地开展起重机械、高支模、深基坑、城市轨道交</w:t>
      </w:r>
      <w:r w:rsidRPr="000407C1">
        <w:rPr>
          <w:rFonts w:ascii="仿宋_GB2312" w:eastAsia="仿宋_GB2312" w:hAnsi="Calibri" w:cs="仿宋_GB2312"/>
          <w:sz w:val="28"/>
          <w:szCs w:val="28"/>
        </w:rPr>
        <w:t>4</w:t>
      </w:r>
      <w:r w:rsidRPr="000407C1">
        <w:rPr>
          <w:rFonts w:ascii="仿宋_GB2312" w:eastAsia="仿宋_GB2312" w:hAnsi="Calibri" w:cs="仿宋_GB2312" w:hint="eastAsia"/>
          <w:sz w:val="28"/>
          <w:szCs w:val="28"/>
        </w:rPr>
        <w:t>工程簧专项治理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依法打击建筑市场违法违规行为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推进建筑施工安全生产许可证制度改革。六是结合创建国家安全发展示范兹</w:t>
      </w:r>
      <w:r w:rsidRPr="000407C1">
        <w:rPr>
          <w:rFonts w:ascii="仿宋_GB2312" w:eastAsia="仿宋_GB2312" w:hAnsi="Calibri" w:cs="仿宋_GB2312"/>
          <w:sz w:val="28"/>
          <w:szCs w:val="28"/>
        </w:rPr>
        <w:t>1</w:t>
      </w:r>
      <w:r w:rsidRPr="000407C1">
        <w:rPr>
          <w:rFonts w:ascii="仿宋_GB2312" w:eastAsia="仿宋_GB2312" w:hAnsi="Calibri" w:cs="仿宋_GB2312" w:hint="eastAsia"/>
          <w:sz w:val="28"/>
          <w:szCs w:val="28"/>
        </w:rPr>
        <w:t>市</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推动解决城市安全重点难点问题。</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住房城乡建设部牵头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国输家发展改革委、教育部、科技部、工业和信息化部、公安部、商务部、危应急管理部、市场监管总局、体育总局等按职责分工负责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十</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工业园区等功能区安全整治。一是完善工业园区等功能转区监管体制机制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明确职责分工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配齐配强专业执法力量</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落实地</w:t>
      </w:r>
      <w:r w:rsidRPr="000407C1">
        <w:rPr>
          <w:rFonts w:ascii="仿宋_GB2312" w:eastAsia="仿宋_GB2312" w:hAnsi="Calibri" w:cs="仿宋_GB2312"/>
          <w:sz w:val="28"/>
          <w:szCs w:val="28"/>
        </w:rPr>
        <w:t>1</w:t>
      </w:r>
      <w:r w:rsidRPr="000407C1">
        <w:rPr>
          <w:rFonts w:ascii="仿宋_GB2312" w:eastAsia="仿宋_GB2312" w:hAnsi="Calibri" w:cs="仿宋_GB2312" w:hint="eastAsia"/>
          <w:sz w:val="28"/>
          <w:szCs w:val="28"/>
        </w:rPr>
        <w:t>方和部门监管责任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推进工业园区智慧化进程</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年底前园区集约化可视化安全监管信息共享平台建成率</w:t>
      </w:r>
      <w:r w:rsidRPr="000407C1">
        <w:rPr>
          <w:rFonts w:ascii="仿宋_GB2312" w:eastAsia="仿宋_GB2312" w:hAnsi="Calibri" w:cs="仿宋_GB2312"/>
          <w:sz w:val="28"/>
          <w:szCs w:val="28"/>
        </w:rPr>
        <w:t>100%</w:t>
      </w:r>
      <w:r w:rsidRPr="000407C1">
        <w:rPr>
          <w:rFonts w:ascii="仿宋_GB2312" w:eastAsia="仿宋_GB2312" w:hAnsi="Calibri" w:cs="仿宋_GB2312" w:hint="eastAsia"/>
          <w:sz w:val="28"/>
          <w:szCs w:val="28"/>
        </w:rPr>
        <w:t>。二是制定工业园区安全生产源头管控，规范工业园区规划布局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严格进园入园项目准入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合理布局工业园区内企业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完善公共设施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进一步提升工业园区本质安全水平。三是建立工业园区风险分级管控和隐患排查治理安全预防控制体系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开展工业园区整体性安全风险评估</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按照“一园一策”原则</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限期整改提升</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有序推进工业园区封闭化管理。四是深化整治冶金类工业园区安全隐患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加强仓储物流园区和港口码头等安全管理。五是加强对水运港口口岸区域安全监督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强化口岸港政、海关、海事等部门的监管协作和信息通报制度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综合保障外贸进出口危险货物的安全高效运行。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国家发展改革委、科技部、工业和信息化部、住房城乡建设部、交通运输部、商务部、应急管理部、海关总署等按职责分工负责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十一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危险废物等安全整治。废弃危险化学品等危险废物</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全面开展危险废物排查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对属性不明的固体废物进行鉴别鉴定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重点整治化工园区、化工企业、危险化学品单位等可能存在的违规堆存、随意倾倒、私自填埋危险废物等问题</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确保危险废物贮存、运输、处置安全。加快制定危险废物贮存安全技术标准。建立完善危险废物由产生到处置各环节联单制度。建立部门联动、区城协作、重大案件会商督办制度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形成覆盖危险废物产生、收集、贮存、转移、运输、利用、处置等全过程的监管体系，加大打击故意隐瞒、偷放偷排或违法违规处置危险废物违法犯罪行为力度。加快危险废物综合处置技术装备研发</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合理规划布点处置企业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加快处置设施建设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消除处置能力瓶颈。督促企业对重点环保设施和项目组织安全风险评估论证和隐患排查治理。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生态环境部、应急管理部牵头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工业和信息化部、公安部、住房城乡建设部、交通运输部、国家铁路局等按职责分工负责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。“煤改气”、洁净型煤、垃圾、污水和涉爆粉尘等</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加强“煤改气”、洁净型煤燃用以及渣土、生活垃圾、污水和涉爆粉尘的贮存、处置等过程中的安全风险评估管控和隐患经排查治理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强化相应的安全责任措施落实</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确保人身安全。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公安部、生态环境部、住房城乡建设部、交通运输部、农业农村部、应急时管理部、国家能源局等按职责分工负责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以上实施方案由相关部门具体制定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其他有关行业领域安全出专项整治方案由有关部门另行制定</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各地区结合实际制定细化实化实施方案。</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三、进度安排</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从</w:t>
      </w: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4</w:t>
      </w:r>
      <w:r w:rsidRPr="000407C1">
        <w:rPr>
          <w:rFonts w:ascii="仿宋_GB2312" w:eastAsia="仿宋_GB2312" w:hAnsi="Calibri" w:cs="仿宋_GB2312" w:hint="eastAsia"/>
          <w:sz w:val="28"/>
          <w:szCs w:val="28"/>
        </w:rPr>
        <w:t>月至</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12</w:t>
      </w:r>
      <w:r w:rsidRPr="000407C1">
        <w:rPr>
          <w:rFonts w:ascii="仿宋_GB2312" w:eastAsia="仿宋_GB2312" w:hAnsi="Calibri" w:cs="仿宋_GB2312" w:hint="eastAsia"/>
          <w:sz w:val="28"/>
          <w:szCs w:val="28"/>
        </w:rPr>
        <w:t>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分四个阶段进行。</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动员部署</w:t>
      </w: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4</w:t>
      </w:r>
      <w:r w:rsidRPr="000407C1">
        <w:rPr>
          <w:rFonts w:ascii="仿宋_GB2312" w:eastAsia="仿宋_GB2312" w:hAnsi="Calibri" w:cs="仿宋_GB2312" w:hint="eastAsia"/>
          <w:sz w:val="28"/>
          <w:szCs w:val="28"/>
        </w:rPr>
        <w:t>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。按程序报批印发全国安全生产专项整治三年行动计划和</w:t>
      </w:r>
      <w:r w:rsidRPr="000407C1">
        <w:rPr>
          <w:rFonts w:ascii="仿宋_GB2312" w:eastAsia="仿宋_GB2312" w:hAnsi="Calibri" w:cs="仿宋_GB2312"/>
          <w:sz w:val="28"/>
          <w:szCs w:val="28"/>
        </w:rPr>
        <w:t>11</w:t>
      </w:r>
      <w:r w:rsidRPr="000407C1">
        <w:rPr>
          <w:rFonts w:ascii="仿宋_GB2312" w:eastAsia="仿宋_GB2312" w:hAnsi="Calibri" w:cs="仿宋_GB2312" w:hint="eastAsia"/>
          <w:sz w:val="28"/>
          <w:szCs w:val="28"/>
        </w:rPr>
        <w:t>个专项整治方案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召开全国安全生</w:t>
      </w:r>
      <w:r w:rsidRPr="000407C1">
        <w:rPr>
          <w:rFonts w:ascii="仿宋_GB2312" w:eastAsia="仿宋_GB2312" w:hAnsi="Calibri" w:cs="仿宋_GB2312"/>
          <w:sz w:val="28"/>
          <w:szCs w:val="28"/>
        </w:rPr>
        <w:t>1</w:t>
      </w:r>
      <w:r w:rsidRPr="000407C1">
        <w:rPr>
          <w:rFonts w:ascii="仿宋_GB2312" w:eastAsia="仿宋_GB2312" w:hAnsi="Calibri" w:cs="仿宋_GB2312" w:hint="eastAsia"/>
          <w:sz w:val="28"/>
          <w:szCs w:val="28"/>
        </w:rPr>
        <w:t>产电视电话会议</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部署启动全面开展专项整治三年行动。各地区、各有关部门和中央企业制定实施方案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对开展专项整治三年行动作出具体安排。</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排查整治</w:t>
      </w:r>
      <w:r w:rsidRPr="000407C1">
        <w:rPr>
          <w:rFonts w:ascii="仿宋_GB2312" w:eastAsia="仿宋_GB2312" w:hAnsi="Calibri" w:cs="仿宋_GB2312"/>
          <w:sz w:val="28"/>
          <w:szCs w:val="28"/>
        </w:rPr>
        <w:t>(2020</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5</w:t>
      </w:r>
      <w:r w:rsidRPr="000407C1">
        <w:rPr>
          <w:rFonts w:ascii="仿宋_GB2312" w:eastAsia="仿宋_GB2312" w:hAnsi="Calibri" w:cs="仿宋_GB2312" w:hint="eastAsia"/>
          <w:sz w:val="28"/>
          <w:szCs w:val="28"/>
        </w:rPr>
        <w:t>月至</w:t>
      </w:r>
      <w:r w:rsidRPr="000407C1">
        <w:rPr>
          <w:rFonts w:ascii="仿宋_GB2312" w:eastAsia="仿宋_GB2312" w:hAnsi="Calibri" w:cs="仿宋_GB2312"/>
          <w:sz w:val="28"/>
          <w:szCs w:val="28"/>
        </w:rPr>
        <w:t>12</w:t>
      </w:r>
      <w:r w:rsidRPr="000407C1">
        <w:rPr>
          <w:rFonts w:ascii="仿宋_GB2312" w:eastAsia="仿宋_GB2312" w:hAnsi="Calibri" w:cs="仿宋_GB2312" w:hint="eastAsia"/>
          <w:sz w:val="28"/>
          <w:szCs w:val="28"/>
        </w:rPr>
        <w:t>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。各地区、各有关部门深入分析一些地方和行业领域复工复产过程中发生事故的主客观原因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对本地区、本行业领域和重点单位场所、关键环节安全风险隐患进行全面深入细致的排查治理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建立问题隐患和制度措施“两个清单</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制定时间表路线图</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明确整改责任单位和整改要求</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坚持边查边改、立查立改</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加快推进实施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整治工作取得初步成效。</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三</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集中攻坚</w:t>
      </w:r>
      <w:r w:rsidRPr="000407C1">
        <w:rPr>
          <w:rFonts w:ascii="仿宋_GB2312" w:eastAsia="仿宋_GB2312" w:hAnsi="Calibri" w:cs="仿宋_GB2312"/>
          <w:sz w:val="28"/>
          <w:szCs w:val="28"/>
        </w:rPr>
        <w:t>(2021</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。动态更新“两个清单</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针对重点难点问题</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通过现场推进会、“开小灶”、推广有关地方和标杆企业的经验等措施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加大专项整治攻坚力度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落实和完善治理措施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推动建立健全公共安全隐患排查和安全预防控制体系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整治工作取得明显成效。</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四</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巩固提升</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。深入分析安全生产共性问题和突出隐惠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深挖背后的深层次矛盾和原因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梳理出在法规标准、政策措施层面需要建立健全、补充完善的具体制度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逐项推动落实。结合各地经验做法特别是总结江苏省安全生产专项整治经验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形成一批制度成果</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在全国推广。总结全国安全生产专项整治三年行动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着力将党的十八大以来安全生产重要理论和实践创新转化为法规制度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健全长效机制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形成一套较为成熟定型的安全生产制度体系。</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各地区、各有关部门分年度总结专项整治三年行动计划开展情况</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并报送国务院安委会办公室</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国务院安委会办公室汇总梳理向国务院安委会报告</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并上报党中央、国务院</w:t>
      </w:r>
      <w:r w:rsidRPr="000407C1">
        <w:rPr>
          <w:rFonts w:ascii="仿宋_GB2312" w:eastAsia="仿宋_GB2312" w:hAnsi="Calibri" w:cs="仿宋_GB2312"/>
          <w:sz w:val="28"/>
          <w:szCs w:val="28"/>
        </w:rPr>
        <w:t>;2022</w:t>
      </w:r>
      <w:r w:rsidRPr="000407C1">
        <w:rPr>
          <w:rFonts w:ascii="仿宋_GB2312" w:eastAsia="仿宋_GB2312" w:hAnsi="Calibri" w:cs="仿宋_GB2312" w:hint="eastAsia"/>
          <w:sz w:val="28"/>
          <w:szCs w:val="28"/>
        </w:rPr>
        <w:t>年</w:t>
      </w:r>
      <w:r w:rsidRPr="000407C1">
        <w:rPr>
          <w:rFonts w:ascii="仿宋_GB2312" w:eastAsia="仿宋_GB2312" w:hAnsi="Calibri" w:cs="仿宋_GB2312"/>
          <w:sz w:val="28"/>
          <w:szCs w:val="28"/>
        </w:rPr>
        <w:t>12</w:t>
      </w:r>
      <w:r w:rsidRPr="000407C1">
        <w:rPr>
          <w:rFonts w:ascii="仿宋_GB2312" w:eastAsia="仿宋_GB2312" w:hAnsi="Calibri" w:cs="仿宋_GB2312" w:hint="eastAsia"/>
          <w:sz w:val="28"/>
          <w:szCs w:val="28"/>
        </w:rPr>
        <w:t>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国务院安委会办公室对专项整治三年行动进行全面总结评估</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提请国务院安委会审议后</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上报党中央、国务院。</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四、保障措施</w:t>
      </w:r>
    </w:p>
    <w:p w:rsidR="00A614C1" w:rsidRPr="000407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一</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加强组织领导。各地区、各有关部门和单位要从增强“四个意识”、坚定“四个自信”、做到“两个维护”的政治高度，深刻认识做好专项整治三年行动的重要性</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强化领导责任</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勇于担当作为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层层抓好组织实施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绝不能只重发展不顾安全</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更不能将其视为无关痛痒的事，搞形式主义、官僚主义。加强专项整治三年行动的动态检查和过程监督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纳入安全生产工作考核和党政领导干部续效考核。国务院安委会加强专项整治三年行动的组织领导</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建立国务院安委会主任办公例会制度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定期研究专项行动工作</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协调解决重大问题。国务院安委会办公室负责日常工作</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有关部门派联络员参加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相对集中办公</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加强统筹协调</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开展巡查督导</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推动工作落实。各地区和各有关部门成立相应领导机构和工作专班</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协调推动本地区、本行业领域专项整治工作。</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完善法规制度。注重运用法治思维和法治方式</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推动解决安全生产重点难点问题。推动制修订安全生产法、矿山安全法危险化学品安全法、煤矿安全条例和道路机动车辆生产管理条例等法律法规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推动修改刑法有关条款、加大事故前主观故意违法犯罪行为的打击力度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制修订一批安全生产强制性国家标准、行业标准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推动设区的市制定完善安全生产地方性法规。推动建立安全生产公益诉讼制度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完善和落实安全生产行政执法和刑事司法衔接工作机制。建立企业生产经营责任全过程追溯制度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落实事故结案一年内整改评估公开和责任追究制度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建立安全生产标准化达标开级评审管理制度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修订完善企业安全生产费用提取管理使用办法和审计监督机制。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应急管理部牵头</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（三</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强化保障能力。完善支持安全生产工作政策体系，强化中央和地方财政对安全生产工作的经费保障</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优化支出结构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简重点行业领域风险防控、事故隐患消除工作倾斜。地市级以上应急管理部门建立安全风险监测监控支撑机构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加快推进“互联网十安全监管”模式</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完善安全事故隐患排查治理信息系统</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推行应用执法手册</w:t>
      </w:r>
      <w:r w:rsidRPr="000407C1">
        <w:rPr>
          <w:rFonts w:ascii="仿宋_GB2312" w:eastAsia="仿宋_GB2312" w:hAnsi="Calibri" w:cs="仿宋_GB2312"/>
          <w:sz w:val="28"/>
          <w:szCs w:val="28"/>
        </w:rPr>
        <w:t>APP</w:t>
      </w:r>
      <w:r w:rsidRPr="000407C1">
        <w:rPr>
          <w:rFonts w:ascii="仿宋_GB2312" w:eastAsia="仿宋_GB2312" w:hAnsi="Calibri" w:cs="仿宋_GB2312" w:hint="eastAsia"/>
          <w:sz w:val="28"/>
          <w:szCs w:val="28"/>
        </w:rPr>
        <w:t>。重点地区扶持建设一批安全生产相关职业院校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含技工院校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和实习实训基地。培育发展一批有实力的安全技术服务机构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严格实施评价结果公开和第三方评估制度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防止弄虚作假。在高危行业领域全面实施安责险制度</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推动保险机构落实事故预防技术规范</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切实发挥参与风险评估管控和事故预防功能。（各相关部门按职责分工负责</w:t>
      </w:r>
      <w:r w:rsidRPr="000407C1">
        <w:rPr>
          <w:rFonts w:ascii="仿宋_GB2312" w:eastAsia="仿宋_GB2312" w:hAnsi="Calibri" w:cs="仿宋_GB2312"/>
          <w:sz w:val="28"/>
          <w:szCs w:val="28"/>
        </w:rPr>
        <w:t>)</w:t>
      </w:r>
    </w:p>
    <w:p w:rsidR="00A614C1" w:rsidRPr="000407C1" w:rsidRDefault="00A614C1" w:rsidP="00483CCC">
      <w:pPr>
        <w:spacing w:line="520" w:lineRule="exact"/>
        <w:rPr>
          <w:rFonts w:ascii="仿宋_GB2312" w:eastAsia="仿宋_GB2312" w:hAnsi="Calibri" w:cs="仿宋_GB2312"/>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四</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改进监管方式。实施分级分类精准化执法、差异化管理</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防止简单化、“一刀切”。强化监管执法和跟踪问效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深入开展“四不两直</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明查暗访、异地交叉检查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对重点问题、重大隐患盯住不放、一抓到底，督促彻底解决。坚持执法寓服务之中</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组织专家组开展精准指导服务</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实行远程“会诊”与上门服务相结合</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帮助解决安全生产难题。督促企业自查自纠</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对企业主动发现、自觉报告的问题隐患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重点实行跟踪指导服务。充分运用正反两方面的典型</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积极开展以案释法</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加强宣传教育</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鼓励和引导广大群众特别是企业职工举报重大隐患和违法违规行为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形成全社会参与支持、群防群治的良好局面。</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各相关部门按职责分工负责</w:t>
      </w:r>
      <w:r w:rsidRPr="000407C1">
        <w:rPr>
          <w:rFonts w:ascii="仿宋_GB2312" w:eastAsia="仿宋_GB2312" w:hAnsi="Calibri" w:cs="仿宋_GB2312"/>
          <w:sz w:val="28"/>
          <w:szCs w:val="28"/>
        </w:rPr>
        <w:t>)</w:t>
      </w:r>
    </w:p>
    <w:p w:rsidR="00A614C1" w:rsidRDefault="00A614C1" w:rsidP="00483CCC">
      <w:pPr>
        <w:spacing w:line="520" w:lineRule="exact"/>
        <w:rPr>
          <w:rFonts w:ascii="仿宋_GB2312" w:eastAsia="仿宋_GB2312" w:hAnsi="Calibri"/>
          <w:sz w:val="28"/>
          <w:szCs w:val="28"/>
        </w:rPr>
      </w:pPr>
      <w:r w:rsidRPr="000407C1">
        <w:rPr>
          <w:rFonts w:ascii="仿宋_GB2312" w:eastAsia="仿宋_GB2312" w:hAnsi="Calibri" w:cs="仿宋_GB2312"/>
          <w:sz w:val="28"/>
          <w:szCs w:val="28"/>
        </w:rPr>
        <w:t xml:space="preserve">     (</w:t>
      </w:r>
      <w:r w:rsidRPr="000407C1">
        <w:rPr>
          <w:rFonts w:ascii="仿宋_GB2312" w:eastAsia="仿宋_GB2312" w:hAnsi="Calibri" w:cs="仿宋_GB2312" w:hint="eastAsia"/>
          <w:sz w:val="28"/>
          <w:szCs w:val="28"/>
        </w:rPr>
        <w:t>五</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严格问效问责。各地区要加强对本辖区及其有关部门安全整治工作的监督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各有关部门要加强对本系统安全整治工作的监督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国务院安委会办公室要加强对地方和有关部门落实情况的监督</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综合运用通报、约谈、警示、曝光等有效措施</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加强督促检查</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附并将整治情况纳入安全生产考核巡查内容</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确保取得实实在在成效。要建立和落实与纪检监察部门安全生产违法违纪问题线索移交查办工作机制</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对整治工作不负责、不作为</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分工责任不落实、措施不得力</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重大问题隐患悬而不决</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逾期没有完成目标任务的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坚决问责。对因整治工作失职渎职</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造成事故发生的</w:t>
      </w:r>
      <w:r w:rsidRPr="000407C1">
        <w:rPr>
          <w:rFonts w:ascii="仿宋_GB2312" w:eastAsia="仿宋_GB2312" w:hAnsi="Calibri" w:cs="仿宋_GB2312"/>
          <w:sz w:val="28"/>
          <w:szCs w:val="28"/>
        </w:rPr>
        <w:t>,</w:t>
      </w:r>
      <w:r w:rsidRPr="000407C1">
        <w:rPr>
          <w:rFonts w:ascii="仿宋_GB2312" w:eastAsia="仿宋_GB2312" w:hAnsi="Calibri" w:cs="仿宋_GB2312" w:hint="eastAsia"/>
          <w:sz w:val="28"/>
          <w:szCs w:val="28"/>
        </w:rPr>
        <w:t>移交司法部门推依法严肃追究法律责任。</w:t>
      </w:r>
    </w:p>
    <w:p w:rsidR="00A614C1" w:rsidRPr="000407C1" w:rsidRDefault="00A614C1" w:rsidP="000407C1">
      <w:pPr>
        <w:spacing w:line="480" w:lineRule="exact"/>
        <w:ind w:firstLine="570"/>
        <w:rPr>
          <w:rFonts w:ascii="仿宋_GB2312" w:eastAsia="仿宋_GB2312" w:hAnsi="Calibri"/>
          <w:sz w:val="28"/>
          <w:szCs w:val="28"/>
        </w:rPr>
      </w:pPr>
    </w:p>
    <w:p w:rsidR="00A614C1" w:rsidRPr="00147317" w:rsidRDefault="00A614C1" w:rsidP="00147317">
      <w:pPr>
        <w:spacing w:line="520" w:lineRule="exact"/>
        <w:jc w:val="center"/>
        <w:rPr>
          <w:rFonts w:ascii="黑体" w:eastAsia="黑体"/>
          <w:b/>
          <w:bCs/>
          <w:color w:val="000000"/>
          <w:sz w:val="32"/>
          <w:szCs w:val="32"/>
        </w:rPr>
      </w:pPr>
      <w:r w:rsidRPr="00147317">
        <w:rPr>
          <w:rFonts w:ascii="黑体" w:eastAsia="黑体" w:cs="黑体" w:hint="eastAsia"/>
          <w:b/>
          <w:bCs/>
          <w:color w:val="000000"/>
          <w:sz w:val="32"/>
          <w:szCs w:val="32"/>
        </w:rPr>
        <w:t>上海市住房和城乡建设管理委员会</w:t>
      </w:r>
    </w:p>
    <w:p w:rsidR="00A614C1" w:rsidRPr="00147317" w:rsidRDefault="00A614C1" w:rsidP="00147317">
      <w:pPr>
        <w:spacing w:line="520" w:lineRule="exact"/>
        <w:jc w:val="center"/>
        <w:rPr>
          <w:rFonts w:ascii="黑体" w:eastAsia="黑体"/>
          <w:b/>
          <w:bCs/>
          <w:color w:val="000000"/>
          <w:sz w:val="32"/>
          <w:szCs w:val="32"/>
        </w:rPr>
      </w:pPr>
      <w:r w:rsidRPr="00147317">
        <w:rPr>
          <w:rFonts w:ascii="黑体" w:eastAsia="黑体" w:cs="黑体" w:hint="eastAsia"/>
          <w:b/>
          <w:bCs/>
          <w:color w:val="000000"/>
          <w:sz w:val="32"/>
          <w:szCs w:val="32"/>
        </w:rPr>
        <w:t>关于进一步推进上海市公共建筑能效提升</w:t>
      </w:r>
    </w:p>
    <w:p w:rsidR="00A614C1" w:rsidRPr="0018682D" w:rsidRDefault="00A614C1" w:rsidP="00147317">
      <w:pPr>
        <w:spacing w:line="520" w:lineRule="exact"/>
        <w:jc w:val="center"/>
        <w:rPr>
          <w:rFonts w:ascii="仿宋_GB2312" w:eastAsia="仿宋_GB2312" w:hAnsi="Calibri"/>
          <w:sz w:val="28"/>
          <w:szCs w:val="28"/>
        </w:rPr>
      </w:pPr>
      <w:r w:rsidRPr="00147317">
        <w:rPr>
          <w:rFonts w:ascii="黑体" w:eastAsia="黑体" w:cs="黑体" w:hint="eastAsia"/>
          <w:b/>
          <w:bCs/>
          <w:color w:val="000000"/>
          <w:sz w:val="32"/>
          <w:szCs w:val="32"/>
        </w:rPr>
        <w:t>重点城市建设工作的通知</w:t>
      </w:r>
    </w:p>
    <w:p w:rsidR="00A614C1" w:rsidRPr="0018682D" w:rsidRDefault="00A614C1" w:rsidP="00717A35">
      <w:pPr>
        <w:spacing w:line="510" w:lineRule="exact"/>
        <w:rPr>
          <w:rFonts w:ascii="仿宋_GB2312" w:eastAsia="仿宋_GB2312" w:hAnsi="Calibri" w:cs="仿宋_GB2312"/>
          <w:sz w:val="28"/>
          <w:szCs w:val="28"/>
        </w:rPr>
      </w:pPr>
      <w:r w:rsidRPr="0018682D">
        <w:rPr>
          <w:rFonts w:ascii="仿宋_GB2312" w:eastAsia="仿宋_GB2312" w:hAnsi="Calibri" w:cs="仿宋_GB2312" w:hint="eastAsia"/>
          <w:sz w:val="28"/>
          <w:szCs w:val="28"/>
        </w:rPr>
        <w:t>各有关单位</w:t>
      </w:r>
      <w:r w:rsidRPr="0018682D">
        <w:rPr>
          <w:rFonts w:ascii="仿宋_GB2312" w:eastAsia="仿宋_GB2312" w:hAnsi="Calibri" w:cs="仿宋_GB2312"/>
          <w:sz w:val="28"/>
          <w:szCs w:val="28"/>
        </w:rPr>
        <w:t>:</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 xml:space="preserve">2017 </w:t>
      </w:r>
      <w:r w:rsidRPr="0018682D">
        <w:rPr>
          <w:rFonts w:ascii="仿宋_GB2312" w:eastAsia="仿宋_GB2312" w:hAnsi="Calibri" w:cs="仿宋_GB2312" w:hint="eastAsia"/>
          <w:sz w:val="28"/>
          <w:szCs w:val="28"/>
        </w:rPr>
        <w:t>年，住房城乡建设部办公厅和银监会办公厅联合印发了《关于深化公共建筑能效提升重点城市建设有关工作的通知》（建办科函〔</w:t>
      </w:r>
      <w:r w:rsidRPr="0018682D">
        <w:rPr>
          <w:rFonts w:ascii="仿宋_GB2312" w:eastAsia="仿宋_GB2312" w:hAnsi="Calibri" w:cs="仿宋_GB2312"/>
          <w:sz w:val="28"/>
          <w:szCs w:val="28"/>
        </w:rPr>
        <w:t>2017</w:t>
      </w:r>
      <w:r w:rsidRPr="0018682D">
        <w:rPr>
          <w:rFonts w:ascii="仿宋_GB2312" w:eastAsia="仿宋_GB2312" w:hAnsi="Calibri" w:cs="仿宋_GB2312" w:hint="eastAsia"/>
          <w:sz w:val="28"/>
          <w:szCs w:val="28"/>
        </w:rPr>
        <w:t>〕</w:t>
      </w:r>
      <w:r w:rsidRPr="0018682D">
        <w:rPr>
          <w:rFonts w:ascii="仿宋_GB2312" w:eastAsia="仿宋_GB2312" w:hAnsi="Calibri" w:cs="仿宋_GB2312"/>
          <w:sz w:val="28"/>
          <w:szCs w:val="28"/>
        </w:rPr>
        <w:t xml:space="preserve">409 </w:t>
      </w:r>
      <w:r w:rsidRPr="0018682D">
        <w:rPr>
          <w:rFonts w:ascii="仿宋_GB2312" w:eastAsia="仿宋_GB2312" w:hAnsi="Calibri" w:cs="仿宋_GB2312" w:hint="eastAsia"/>
          <w:sz w:val="28"/>
          <w:szCs w:val="28"/>
        </w:rPr>
        <w:t>号），明确要求各省市开展创建公共建筑能效提升重点城市工作，其中直辖市“十三五”期间完成公共建筑节能改造面积不少于</w:t>
      </w:r>
      <w:r w:rsidRPr="0018682D">
        <w:rPr>
          <w:rFonts w:ascii="仿宋_GB2312" w:eastAsia="仿宋_GB2312" w:hAnsi="Calibri" w:cs="仿宋_GB2312"/>
          <w:sz w:val="28"/>
          <w:szCs w:val="28"/>
        </w:rPr>
        <w:t xml:space="preserve"> 500 </w:t>
      </w:r>
      <w:r w:rsidRPr="0018682D">
        <w:rPr>
          <w:rFonts w:ascii="仿宋_GB2312" w:eastAsia="仿宋_GB2312" w:hAnsi="Calibri" w:cs="仿宋_GB2312" w:hint="eastAsia"/>
          <w:sz w:val="28"/>
          <w:szCs w:val="28"/>
        </w:rPr>
        <w:t>万平方米。为此，市住房城乡建设管理委联合上海银监局编制了《上海市公共建筑能效提升重点城市建设方案》，并上报住房城乡建设部与银监会获得通过。</w:t>
      </w:r>
      <w:r w:rsidRPr="0018682D">
        <w:rPr>
          <w:rFonts w:ascii="仿宋_GB2312" w:eastAsia="仿宋_GB2312" w:hAnsi="Calibri" w:cs="仿宋_GB2312"/>
          <w:sz w:val="28"/>
          <w:szCs w:val="28"/>
        </w:rPr>
        <w:t xml:space="preserve">2020 </w:t>
      </w:r>
      <w:r w:rsidRPr="0018682D">
        <w:rPr>
          <w:rFonts w:ascii="仿宋_GB2312" w:eastAsia="仿宋_GB2312" w:hAnsi="Calibri" w:cs="仿宋_GB2312" w:hint="eastAsia"/>
          <w:sz w:val="28"/>
          <w:szCs w:val="28"/>
        </w:rPr>
        <w:t>年是本市公共建筑能效提升重点城市创建工作的收官之年，为更好完成各项目标任务，现就本市公共建筑能效提升重点城市示范项目的申报、评审、发布、总结与授牌等有关工作事项印发通知如下：</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 xml:space="preserve"> </w:t>
      </w:r>
      <w:r w:rsidRPr="0018682D">
        <w:rPr>
          <w:rFonts w:ascii="仿宋_GB2312" w:eastAsia="仿宋_GB2312" w:hAnsi="Calibri" w:cs="仿宋_GB2312" w:hint="eastAsia"/>
          <w:sz w:val="28"/>
          <w:szCs w:val="28"/>
        </w:rPr>
        <w:t>一、项目要求</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纳入本市公共建筑能效提升重点城市示范项目应符合以下需求：</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1.</w:t>
      </w:r>
      <w:r w:rsidRPr="0018682D">
        <w:rPr>
          <w:rFonts w:ascii="仿宋_GB2312" w:eastAsia="仿宋_GB2312" w:hAnsi="Calibri" w:cs="仿宋_GB2312" w:hint="eastAsia"/>
          <w:sz w:val="28"/>
          <w:szCs w:val="28"/>
        </w:rPr>
        <w:t>采用合同能源模式开展节能改造的公共建筑项目，或者由建筑物所有权人或其授权委托的使用人自行开展节能改造的公共建筑项目。</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2.</w:t>
      </w:r>
      <w:r w:rsidRPr="0018682D">
        <w:rPr>
          <w:rFonts w:ascii="仿宋_GB2312" w:eastAsia="仿宋_GB2312" w:hAnsi="Calibri" w:cs="仿宋_GB2312" w:hint="eastAsia"/>
          <w:sz w:val="28"/>
          <w:szCs w:val="28"/>
        </w:rPr>
        <w:t>项目在</w:t>
      </w:r>
      <w:r w:rsidRPr="0018682D">
        <w:rPr>
          <w:rFonts w:ascii="仿宋_GB2312" w:eastAsia="仿宋_GB2312" w:hAnsi="Calibri" w:cs="仿宋_GB2312"/>
          <w:sz w:val="28"/>
          <w:szCs w:val="28"/>
        </w:rPr>
        <w:t xml:space="preserve"> 2016 </w:t>
      </w:r>
      <w:r w:rsidRPr="0018682D">
        <w:rPr>
          <w:rFonts w:ascii="仿宋_GB2312" w:eastAsia="仿宋_GB2312" w:hAnsi="Calibri" w:cs="仿宋_GB2312" w:hint="eastAsia"/>
          <w:sz w:val="28"/>
          <w:szCs w:val="28"/>
        </w:rPr>
        <w:t>年</w:t>
      </w:r>
      <w:r w:rsidRPr="0018682D">
        <w:rPr>
          <w:rFonts w:ascii="仿宋_GB2312" w:eastAsia="仿宋_GB2312" w:hAnsi="Calibri" w:cs="仿宋_GB2312"/>
          <w:sz w:val="28"/>
          <w:szCs w:val="28"/>
        </w:rPr>
        <w:t xml:space="preserve"> 1 </w:t>
      </w:r>
      <w:r w:rsidRPr="0018682D">
        <w:rPr>
          <w:rFonts w:ascii="仿宋_GB2312" w:eastAsia="仿宋_GB2312" w:hAnsi="Calibri" w:cs="仿宋_GB2312" w:hint="eastAsia"/>
          <w:sz w:val="28"/>
          <w:szCs w:val="28"/>
        </w:rPr>
        <w:t>月</w:t>
      </w:r>
      <w:r w:rsidRPr="0018682D">
        <w:rPr>
          <w:rFonts w:ascii="仿宋_GB2312" w:eastAsia="仿宋_GB2312" w:hAnsi="Calibri" w:cs="仿宋_GB2312"/>
          <w:sz w:val="28"/>
          <w:szCs w:val="28"/>
        </w:rPr>
        <w:t xml:space="preserve"> 1 </w:t>
      </w:r>
      <w:r w:rsidRPr="0018682D">
        <w:rPr>
          <w:rFonts w:ascii="仿宋_GB2312" w:eastAsia="仿宋_GB2312" w:hAnsi="Calibri" w:cs="仿宋_GB2312" w:hint="eastAsia"/>
          <w:sz w:val="28"/>
          <w:szCs w:val="28"/>
        </w:rPr>
        <w:t>日至</w:t>
      </w:r>
      <w:r w:rsidRPr="0018682D">
        <w:rPr>
          <w:rFonts w:ascii="仿宋_GB2312" w:eastAsia="仿宋_GB2312" w:hAnsi="Calibri" w:cs="仿宋_GB2312"/>
          <w:sz w:val="28"/>
          <w:szCs w:val="28"/>
        </w:rPr>
        <w:t xml:space="preserve"> 2020 </w:t>
      </w:r>
      <w:r w:rsidRPr="0018682D">
        <w:rPr>
          <w:rFonts w:ascii="仿宋_GB2312" w:eastAsia="仿宋_GB2312" w:hAnsi="Calibri" w:cs="仿宋_GB2312" w:hint="eastAsia"/>
          <w:sz w:val="28"/>
          <w:szCs w:val="28"/>
        </w:rPr>
        <w:t>年</w:t>
      </w:r>
      <w:r w:rsidRPr="0018682D">
        <w:rPr>
          <w:rFonts w:ascii="仿宋_GB2312" w:eastAsia="仿宋_GB2312" w:hAnsi="Calibri" w:cs="仿宋_GB2312"/>
          <w:sz w:val="28"/>
          <w:szCs w:val="28"/>
        </w:rPr>
        <w:t xml:space="preserve"> 12 </w:t>
      </w:r>
      <w:r w:rsidRPr="0018682D">
        <w:rPr>
          <w:rFonts w:ascii="仿宋_GB2312" w:eastAsia="仿宋_GB2312" w:hAnsi="Calibri" w:cs="仿宋_GB2312" w:hint="eastAsia"/>
          <w:sz w:val="28"/>
          <w:szCs w:val="28"/>
        </w:rPr>
        <w:t>月</w:t>
      </w:r>
      <w:r w:rsidRPr="0018682D">
        <w:rPr>
          <w:rFonts w:ascii="仿宋_GB2312" w:eastAsia="仿宋_GB2312" w:hAnsi="Calibri" w:cs="仿宋_GB2312"/>
          <w:sz w:val="28"/>
          <w:szCs w:val="28"/>
        </w:rPr>
        <w:t xml:space="preserve"> 31 </w:t>
      </w:r>
      <w:r w:rsidRPr="0018682D">
        <w:rPr>
          <w:rFonts w:ascii="仿宋_GB2312" w:eastAsia="仿宋_GB2312" w:hAnsi="Calibri" w:cs="仿宋_GB2312" w:hint="eastAsia"/>
          <w:sz w:val="28"/>
          <w:szCs w:val="28"/>
        </w:rPr>
        <w:t>日之间竣工。</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3.</w:t>
      </w:r>
      <w:r w:rsidRPr="0018682D">
        <w:rPr>
          <w:rFonts w:ascii="仿宋_GB2312" w:eastAsia="仿宋_GB2312" w:hAnsi="Calibri" w:cs="仿宋_GB2312" w:hint="eastAsia"/>
          <w:sz w:val="28"/>
          <w:szCs w:val="28"/>
        </w:rPr>
        <w:t>项目综合节能率为</w:t>
      </w:r>
      <w:r w:rsidRPr="0018682D">
        <w:rPr>
          <w:rFonts w:ascii="仿宋_GB2312" w:eastAsia="仿宋_GB2312" w:hAnsi="Calibri" w:cs="仿宋_GB2312"/>
          <w:sz w:val="28"/>
          <w:szCs w:val="28"/>
        </w:rPr>
        <w:t xml:space="preserve"> 10%</w:t>
      </w:r>
      <w:r w:rsidRPr="0018682D">
        <w:rPr>
          <w:rFonts w:ascii="仿宋_GB2312" w:eastAsia="仿宋_GB2312" w:hAnsi="Calibri" w:cs="仿宋_GB2312" w:hint="eastAsia"/>
          <w:sz w:val="28"/>
          <w:szCs w:val="28"/>
        </w:rPr>
        <w:t>及以上。</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4.</w:t>
      </w:r>
      <w:r w:rsidRPr="0018682D">
        <w:rPr>
          <w:rFonts w:ascii="仿宋_GB2312" w:eastAsia="仿宋_GB2312" w:hAnsi="Calibri" w:cs="仿宋_GB2312" w:hint="eastAsia"/>
          <w:sz w:val="28"/>
          <w:szCs w:val="28"/>
        </w:rPr>
        <w:t>综合节能率</w:t>
      </w:r>
      <w:r w:rsidRPr="0018682D">
        <w:rPr>
          <w:rFonts w:ascii="仿宋_GB2312" w:eastAsia="仿宋_GB2312" w:hAnsi="Calibri" w:cs="仿宋_GB2312"/>
          <w:sz w:val="28"/>
          <w:szCs w:val="28"/>
        </w:rPr>
        <w:t xml:space="preserve"> 15%</w:t>
      </w:r>
      <w:r w:rsidRPr="0018682D">
        <w:rPr>
          <w:rFonts w:ascii="仿宋_GB2312" w:eastAsia="仿宋_GB2312" w:hAnsi="Calibri" w:cs="仿宋_GB2312" w:hint="eastAsia"/>
          <w:sz w:val="28"/>
          <w:szCs w:val="28"/>
        </w:rPr>
        <w:t>及以上的改造项目示范面积，以该项目改造后实际受益面积计算。</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5.</w:t>
      </w:r>
      <w:r w:rsidRPr="0018682D">
        <w:rPr>
          <w:rFonts w:ascii="仿宋_GB2312" w:eastAsia="仿宋_GB2312" w:hAnsi="Calibri" w:cs="仿宋_GB2312" w:hint="eastAsia"/>
          <w:sz w:val="28"/>
          <w:szCs w:val="28"/>
        </w:rPr>
        <w:t>对于综合节能率为</w:t>
      </w:r>
      <w:r w:rsidRPr="0018682D">
        <w:rPr>
          <w:rFonts w:ascii="仿宋_GB2312" w:eastAsia="仿宋_GB2312" w:hAnsi="Calibri" w:cs="仿宋_GB2312"/>
          <w:sz w:val="28"/>
          <w:szCs w:val="28"/>
        </w:rPr>
        <w:t xml:space="preserve"> 10%- 15%</w:t>
      </w:r>
      <w:r w:rsidRPr="0018682D">
        <w:rPr>
          <w:rFonts w:ascii="仿宋_GB2312" w:eastAsia="仿宋_GB2312" w:hAnsi="Calibri" w:cs="仿宋_GB2312" w:hint="eastAsia"/>
          <w:sz w:val="28"/>
          <w:szCs w:val="28"/>
        </w:rPr>
        <w:t>的项目，示范面积按照以下公式折算：</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示范面积</w:t>
      </w:r>
      <w:r w:rsidRPr="0018682D">
        <w:rPr>
          <w:rFonts w:ascii="仿宋_GB2312" w:eastAsia="仿宋_GB2312" w:hAnsi="Calibri" w:cs="仿宋_GB2312"/>
          <w:sz w:val="28"/>
          <w:szCs w:val="28"/>
        </w:rPr>
        <w:t>=</w:t>
      </w:r>
      <w:r w:rsidRPr="0018682D">
        <w:rPr>
          <w:rFonts w:ascii="仿宋_GB2312" w:eastAsia="仿宋_GB2312" w:hAnsi="Calibri" w:cs="仿宋_GB2312" w:hint="eastAsia"/>
          <w:sz w:val="28"/>
          <w:szCs w:val="28"/>
        </w:rPr>
        <w:t>（项目节能率</w:t>
      </w:r>
      <w:r w:rsidRPr="0018682D">
        <w:rPr>
          <w:rFonts w:ascii="仿宋_GB2312" w:eastAsia="仿宋_GB2312" w:hAnsi="Calibri" w:cs="仿宋_GB2312"/>
          <w:sz w:val="28"/>
          <w:szCs w:val="28"/>
        </w:rPr>
        <w:t>/0.15</w:t>
      </w:r>
      <w:r w:rsidRPr="0018682D">
        <w:rPr>
          <w:rFonts w:ascii="仿宋_GB2312" w:eastAsia="仿宋_GB2312" w:hAnsi="Calibri" w:cs="仿宋_GB2312" w:hint="eastAsia"/>
          <w:sz w:val="28"/>
          <w:szCs w:val="28"/>
        </w:rPr>
        <w:t>）</w:t>
      </w:r>
      <w:r w:rsidRPr="0018682D">
        <w:rPr>
          <w:rFonts w:ascii="仿宋_GB2312" w:eastAsia="仿宋_GB2312" w:hAnsi="Calibri" w:cs="仿宋_GB2312"/>
          <w:sz w:val="28"/>
          <w:szCs w:val="28"/>
        </w:rPr>
        <w:t>*</w:t>
      </w:r>
      <w:r w:rsidRPr="0018682D">
        <w:rPr>
          <w:rFonts w:ascii="仿宋_GB2312" w:eastAsia="仿宋_GB2312" w:hAnsi="Calibri" w:cs="仿宋_GB2312" w:hint="eastAsia"/>
          <w:sz w:val="28"/>
          <w:szCs w:val="28"/>
        </w:rPr>
        <w:t>项目改造受益面积</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 xml:space="preserve"> </w:t>
      </w:r>
      <w:r w:rsidRPr="0018682D">
        <w:rPr>
          <w:rFonts w:ascii="仿宋_GB2312" w:eastAsia="仿宋_GB2312" w:hAnsi="Calibri" w:cs="仿宋_GB2312" w:hint="eastAsia"/>
          <w:sz w:val="28"/>
          <w:szCs w:val="28"/>
        </w:rPr>
        <w:t>二、申报途径</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 xml:space="preserve"> </w:t>
      </w:r>
      <w:r w:rsidRPr="0018682D">
        <w:rPr>
          <w:rFonts w:ascii="仿宋_GB2312" w:eastAsia="仿宋_GB2312" w:hAnsi="Calibri" w:cs="仿宋_GB2312" w:hint="eastAsia"/>
          <w:sz w:val="28"/>
          <w:szCs w:val="28"/>
        </w:rPr>
        <w:t>项目申报可采取自行申报以及上级部门组织申报两种途径。</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1.</w:t>
      </w:r>
      <w:r w:rsidRPr="0018682D">
        <w:rPr>
          <w:rFonts w:ascii="仿宋_GB2312" w:eastAsia="仿宋_GB2312" w:hAnsi="Calibri" w:cs="仿宋_GB2312" w:hint="eastAsia"/>
          <w:sz w:val="28"/>
          <w:szCs w:val="28"/>
        </w:rPr>
        <w:t>自行申报的项目，可直接向市住房城乡建设管理委申报，并抄送市建筑建材业市场管理总站。</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2.</w:t>
      </w:r>
      <w:r w:rsidRPr="0018682D">
        <w:rPr>
          <w:rFonts w:ascii="仿宋_GB2312" w:eastAsia="仿宋_GB2312" w:hAnsi="Calibri" w:cs="仿宋_GB2312" w:hint="eastAsia"/>
          <w:sz w:val="28"/>
          <w:szCs w:val="28"/>
        </w:rPr>
        <w:t>各区相关节能管理部门可组织本区的公共建筑节能改造项目，统一向市住房城乡建设管理委申报，并抄送市建筑建材业市场管理总站，各改造项目需具有节能量相关证明文件。</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三、申报要求</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1.</w:t>
      </w:r>
      <w:r w:rsidRPr="0018682D">
        <w:rPr>
          <w:rFonts w:ascii="仿宋_GB2312" w:eastAsia="仿宋_GB2312" w:hAnsi="Calibri" w:cs="仿宋_GB2312" w:hint="eastAsia"/>
          <w:sz w:val="28"/>
          <w:szCs w:val="28"/>
        </w:rPr>
        <w:t>申报截止日期：</w:t>
      </w:r>
      <w:r w:rsidRPr="0018682D">
        <w:rPr>
          <w:rFonts w:ascii="仿宋_GB2312" w:eastAsia="仿宋_GB2312" w:hAnsi="Calibri" w:cs="仿宋_GB2312"/>
          <w:sz w:val="28"/>
          <w:szCs w:val="28"/>
        </w:rPr>
        <w:t xml:space="preserve">2021 </w:t>
      </w:r>
      <w:r w:rsidRPr="0018682D">
        <w:rPr>
          <w:rFonts w:ascii="仿宋_GB2312" w:eastAsia="仿宋_GB2312" w:hAnsi="Calibri" w:cs="仿宋_GB2312" w:hint="eastAsia"/>
          <w:sz w:val="28"/>
          <w:szCs w:val="28"/>
        </w:rPr>
        <w:t>年</w:t>
      </w:r>
      <w:r w:rsidRPr="0018682D">
        <w:rPr>
          <w:rFonts w:ascii="仿宋_GB2312" w:eastAsia="仿宋_GB2312" w:hAnsi="Calibri" w:cs="仿宋_GB2312"/>
          <w:sz w:val="28"/>
          <w:szCs w:val="28"/>
        </w:rPr>
        <w:t xml:space="preserve"> 3 </w:t>
      </w:r>
      <w:r w:rsidRPr="0018682D">
        <w:rPr>
          <w:rFonts w:ascii="仿宋_GB2312" w:eastAsia="仿宋_GB2312" w:hAnsi="Calibri" w:cs="仿宋_GB2312" w:hint="eastAsia"/>
          <w:sz w:val="28"/>
          <w:szCs w:val="28"/>
        </w:rPr>
        <w:t>月</w:t>
      </w:r>
      <w:r w:rsidRPr="0018682D">
        <w:rPr>
          <w:rFonts w:ascii="仿宋_GB2312" w:eastAsia="仿宋_GB2312" w:hAnsi="Calibri" w:cs="仿宋_GB2312"/>
          <w:sz w:val="28"/>
          <w:szCs w:val="28"/>
        </w:rPr>
        <w:t xml:space="preserve"> 31 </w:t>
      </w:r>
      <w:r w:rsidRPr="0018682D">
        <w:rPr>
          <w:rFonts w:ascii="仿宋_GB2312" w:eastAsia="仿宋_GB2312" w:hAnsi="Calibri" w:cs="仿宋_GB2312" w:hint="eastAsia"/>
          <w:sz w:val="28"/>
          <w:szCs w:val="28"/>
        </w:rPr>
        <w:t>日。</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2.</w:t>
      </w:r>
      <w:r w:rsidRPr="0018682D">
        <w:rPr>
          <w:rFonts w:ascii="仿宋_GB2312" w:eastAsia="仿宋_GB2312" w:hAnsi="Calibri" w:cs="仿宋_GB2312" w:hint="eastAsia"/>
          <w:sz w:val="28"/>
          <w:szCs w:val="28"/>
        </w:rPr>
        <w:t>自行申报资料：</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w:t>
      </w:r>
      <w:r w:rsidRPr="0018682D">
        <w:rPr>
          <w:rFonts w:ascii="仿宋_GB2312" w:eastAsia="仿宋_GB2312" w:hAnsi="Calibri" w:cs="仿宋_GB2312"/>
          <w:sz w:val="28"/>
          <w:szCs w:val="28"/>
        </w:rPr>
        <w:t>1</w:t>
      </w:r>
      <w:r w:rsidRPr="0018682D">
        <w:rPr>
          <w:rFonts w:ascii="仿宋_GB2312" w:eastAsia="仿宋_GB2312" w:hAnsi="Calibri" w:cs="仿宋_GB2312" w:hint="eastAsia"/>
          <w:sz w:val="28"/>
          <w:szCs w:val="28"/>
        </w:rPr>
        <w:t>）采用合同能源模式开展节能改造的项目，由建筑物所有权人或其授权委托的使用人，与参与公共建筑节能改造且投资的节能服务公司共同提交书面申请，并提交经第三方节能量审核机构出具的项目节能量审核报告。</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w:t>
      </w:r>
      <w:r w:rsidRPr="0018682D">
        <w:rPr>
          <w:rFonts w:ascii="仿宋_GB2312" w:eastAsia="仿宋_GB2312" w:hAnsi="Calibri" w:cs="仿宋_GB2312"/>
          <w:sz w:val="28"/>
          <w:szCs w:val="28"/>
        </w:rPr>
        <w:t>2</w:t>
      </w:r>
      <w:r w:rsidRPr="0018682D">
        <w:rPr>
          <w:rFonts w:ascii="仿宋_GB2312" w:eastAsia="仿宋_GB2312" w:hAnsi="Calibri" w:cs="仿宋_GB2312" w:hint="eastAsia"/>
          <w:sz w:val="28"/>
          <w:szCs w:val="28"/>
        </w:rPr>
        <w:t>）建筑物所有权人自行开展节能改造的项目，由建筑物所有权人或其授权委托的使用人提交书面申请，并提交经第三方节能量审核机构出具的项目节能量审核报告。</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3.</w:t>
      </w:r>
      <w:r w:rsidRPr="0018682D">
        <w:rPr>
          <w:rFonts w:ascii="仿宋_GB2312" w:eastAsia="仿宋_GB2312" w:hAnsi="Calibri" w:cs="仿宋_GB2312" w:hint="eastAsia"/>
          <w:sz w:val="28"/>
          <w:szCs w:val="28"/>
        </w:rPr>
        <w:t>区组织申报的，其申报资料可由各区自行制定要求。</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四、评审与发布</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申报的改造项目，经市住房城乡建设管理委组织专家评审后，对符合要求的项目列入本市公共建筑能效提升重点城市示范项目。</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 xml:space="preserve">2016 </w:t>
      </w:r>
      <w:r w:rsidRPr="0018682D">
        <w:rPr>
          <w:rFonts w:ascii="仿宋_GB2312" w:eastAsia="仿宋_GB2312" w:hAnsi="Calibri" w:cs="仿宋_GB2312" w:hint="eastAsia"/>
          <w:sz w:val="28"/>
          <w:szCs w:val="28"/>
        </w:rPr>
        <w:t>年</w:t>
      </w:r>
      <w:r w:rsidRPr="0018682D">
        <w:rPr>
          <w:rFonts w:ascii="仿宋_GB2312" w:eastAsia="仿宋_GB2312" w:hAnsi="Calibri" w:cs="仿宋_GB2312"/>
          <w:sz w:val="28"/>
          <w:szCs w:val="28"/>
        </w:rPr>
        <w:t xml:space="preserve"> 1 </w:t>
      </w:r>
      <w:r w:rsidRPr="0018682D">
        <w:rPr>
          <w:rFonts w:ascii="仿宋_GB2312" w:eastAsia="仿宋_GB2312" w:hAnsi="Calibri" w:cs="仿宋_GB2312" w:hint="eastAsia"/>
          <w:sz w:val="28"/>
          <w:szCs w:val="28"/>
        </w:rPr>
        <w:t>月</w:t>
      </w:r>
      <w:r w:rsidRPr="0018682D">
        <w:rPr>
          <w:rFonts w:ascii="仿宋_GB2312" w:eastAsia="仿宋_GB2312" w:hAnsi="Calibri" w:cs="仿宋_GB2312"/>
          <w:sz w:val="28"/>
          <w:szCs w:val="28"/>
        </w:rPr>
        <w:t xml:space="preserve"> 1 </w:t>
      </w:r>
      <w:r w:rsidRPr="0018682D">
        <w:rPr>
          <w:rFonts w:ascii="仿宋_GB2312" w:eastAsia="仿宋_GB2312" w:hAnsi="Calibri" w:cs="仿宋_GB2312" w:hint="eastAsia"/>
          <w:sz w:val="28"/>
          <w:szCs w:val="28"/>
        </w:rPr>
        <w:t>日以后获得本市建筑节能和绿色建筑示范项目中既有公共建筑节能改造类示范项目，及已申请本市建筑节能和绿色建筑示范项目中既有公共建筑节能改造类项目经审定节能率在</w:t>
      </w:r>
      <w:r w:rsidRPr="0018682D">
        <w:rPr>
          <w:rFonts w:ascii="仿宋_GB2312" w:eastAsia="仿宋_GB2312" w:hAnsi="Calibri" w:cs="仿宋_GB2312"/>
          <w:sz w:val="28"/>
          <w:szCs w:val="28"/>
        </w:rPr>
        <w:t xml:space="preserve"> 10%-15%</w:t>
      </w:r>
      <w:r w:rsidRPr="0018682D">
        <w:rPr>
          <w:rFonts w:ascii="仿宋_GB2312" w:eastAsia="仿宋_GB2312" w:hAnsi="Calibri" w:cs="仿宋_GB2312" w:hint="eastAsia"/>
          <w:sz w:val="28"/>
          <w:szCs w:val="28"/>
        </w:rPr>
        <w:t>的项目，无需再次申报，经市住房城乡建设管理委认定后将予以公示。</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对拟列为本市公共建筑能效提升重点城市示范项目，由市住房城乡建设管理委在相关网站上公示。公示无异议后，市住房城乡建设管理委将予以发布。</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五、总结与授牌</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对本市公共建筑能效提升重点城市示范项目授予证书和奖牌。</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对组织申报公共建筑能效提升重点城市示范项目的区，经认定折算后建筑面积超过</w:t>
      </w:r>
      <w:r w:rsidRPr="0018682D">
        <w:rPr>
          <w:rFonts w:ascii="仿宋_GB2312" w:eastAsia="仿宋_GB2312" w:hAnsi="Calibri" w:cs="仿宋_GB2312"/>
          <w:sz w:val="28"/>
          <w:szCs w:val="28"/>
        </w:rPr>
        <w:t xml:space="preserve"> 50 </w:t>
      </w:r>
      <w:r w:rsidRPr="0018682D">
        <w:rPr>
          <w:rFonts w:ascii="仿宋_GB2312" w:eastAsia="仿宋_GB2312" w:hAnsi="Calibri" w:cs="仿宋_GB2312" w:hint="eastAsia"/>
          <w:sz w:val="28"/>
          <w:szCs w:val="28"/>
        </w:rPr>
        <w:t>万平方米的，授予公共建筑能效提升重点城市示范区，并在</w:t>
      </w:r>
      <w:r w:rsidRPr="0018682D">
        <w:rPr>
          <w:rFonts w:ascii="仿宋_GB2312" w:eastAsia="仿宋_GB2312" w:hAnsi="Calibri" w:cs="仿宋_GB2312"/>
          <w:sz w:val="28"/>
          <w:szCs w:val="28"/>
        </w:rPr>
        <w:t xml:space="preserve"> 2020 </w:t>
      </w:r>
      <w:r w:rsidRPr="0018682D">
        <w:rPr>
          <w:rFonts w:ascii="仿宋_GB2312" w:eastAsia="仿宋_GB2312" w:hAnsi="Calibri" w:cs="仿宋_GB2312" w:hint="eastAsia"/>
          <w:sz w:val="28"/>
          <w:szCs w:val="28"/>
        </w:rPr>
        <w:t>年度建筑绿色发展工作评价考核总分基础上加</w:t>
      </w:r>
      <w:r w:rsidRPr="0018682D">
        <w:rPr>
          <w:rFonts w:ascii="仿宋_GB2312" w:eastAsia="仿宋_GB2312" w:hAnsi="Calibri" w:cs="仿宋_GB2312"/>
          <w:sz w:val="28"/>
          <w:szCs w:val="28"/>
        </w:rPr>
        <w:t xml:space="preserve"> 10 </w:t>
      </w:r>
      <w:r w:rsidRPr="0018682D">
        <w:rPr>
          <w:rFonts w:ascii="仿宋_GB2312" w:eastAsia="仿宋_GB2312" w:hAnsi="Calibri" w:cs="仿宋_GB2312" w:hint="eastAsia"/>
          <w:sz w:val="28"/>
          <w:szCs w:val="28"/>
        </w:rPr>
        <w:t>分。</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对组织申报公共建筑能效提升重点城市示范项目成绩突出的各区相关管理部门工作人员，授予公共建筑能效提升重点城市先进工作者。</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对承担公共建筑能效提升重点城市示范项目成绩突出的建设单位和合同能源管理服务公司，授予公共建筑能效提升重点城市先进单位。</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sz w:val="28"/>
          <w:szCs w:val="28"/>
        </w:rPr>
        <w:t xml:space="preserve"> </w:t>
      </w:r>
      <w:r w:rsidRPr="0018682D">
        <w:rPr>
          <w:rFonts w:ascii="仿宋_GB2312" w:eastAsia="仿宋_GB2312" w:hAnsi="Calibri" w:cs="仿宋_GB2312" w:hint="eastAsia"/>
          <w:sz w:val="28"/>
          <w:szCs w:val="28"/>
        </w:rPr>
        <w:t>六、法律责任</w:t>
      </w:r>
    </w:p>
    <w:p w:rsidR="00A614C1"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各区、各单位应在本市公共建筑能效提升重点城市示范项目的申报过程中实事求是，诚信申报。项目在实施过程中存在弄虚作假等违法违规行为的，对相关单位和责任人按照有关规定予以严肃处理，情节严重构成犯罪的，依法追究刑事责任。</w:t>
      </w:r>
    </w:p>
    <w:p w:rsidR="00A614C1" w:rsidRPr="0018682D" w:rsidRDefault="00A614C1" w:rsidP="00FA0C52">
      <w:pPr>
        <w:spacing w:line="510" w:lineRule="exact"/>
        <w:ind w:firstLineChars="200" w:firstLine="31680"/>
        <w:rPr>
          <w:rFonts w:ascii="仿宋_GB2312" w:eastAsia="仿宋_GB2312" w:hAnsi="Calibri"/>
          <w:sz w:val="28"/>
          <w:szCs w:val="28"/>
        </w:rPr>
      </w:pPr>
      <w:r w:rsidRPr="0018682D">
        <w:rPr>
          <w:rFonts w:ascii="仿宋_GB2312" w:eastAsia="仿宋_GB2312" w:hAnsi="Calibri" w:cs="仿宋_GB2312" w:hint="eastAsia"/>
          <w:sz w:val="28"/>
          <w:szCs w:val="28"/>
        </w:rPr>
        <w:t>第三方节能量审核机构应按照《建筑改造项目节能量核定标准》的规定，客观、公正地开展工作，并对出具的报告负责。对出具虚假报告的，一经查实，该机构出具的报告不再作为项目的申报依据，并移交有关部门依照有关规定处理。</w:t>
      </w:r>
    </w:p>
    <w:p w:rsidR="00A614C1" w:rsidRPr="0018682D" w:rsidRDefault="00A614C1" w:rsidP="00717A35">
      <w:pPr>
        <w:spacing w:line="510" w:lineRule="exact"/>
        <w:rPr>
          <w:rFonts w:ascii="仿宋_GB2312" w:eastAsia="仿宋_GB2312" w:hAnsi="Calibri"/>
          <w:sz w:val="28"/>
          <w:szCs w:val="28"/>
        </w:rPr>
      </w:pPr>
      <w:r w:rsidRPr="0018682D">
        <w:rPr>
          <w:rFonts w:ascii="仿宋_GB2312" w:eastAsia="仿宋_GB2312" w:hAnsi="Calibri" w:cs="仿宋_GB2312" w:hint="eastAsia"/>
          <w:sz w:val="28"/>
          <w:szCs w:val="28"/>
        </w:rPr>
        <w:t>特此通知。</w:t>
      </w:r>
    </w:p>
    <w:p w:rsidR="00A614C1" w:rsidRPr="0018682D" w:rsidRDefault="00A614C1" w:rsidP="00717A35">
      <w:pPr>
        <w:spacing w:line="510" w:lineRule="exact"/>
        <w:jc w:val="right"/>
        <w:rPr>
          <w:rFonts w:ascii="仿宋_GB2312" w:eastAsia="仿宋_GB2312" w:hAnsi="Calibri"/>
          <w:sz w:val="28"/>
          <w:szCs w:val="28"/>
        </w:rPr>
      </w:pPr>
      <w:r w:rsidRPr="0018682D">
        <w:rPr>
          <w:rFonts w:ascii="仿宋_GB2312" w:eastAsia="仿宋_GB2312" w:hAnsi="Calibri" w:cs="仿宋_GB2312" w:hint="eastAsia"/>
          <w:sz w:val="28"/>
          <w:szCs w:val="28"/>
        </w:rPr>
        <w:t>二○二○年四月七日</w:t>
      </w:r>
    </w:p>
    <w:p w:rsidR="00A614C1" w:rsidRDefault="00A614C1" w:rsidP="00175A87">
      <w:pPr>
        <w:pStyle w:val="Heading3"/>
        <w:widowControl w:val="0"/>
        <w:snapToGrid w:val="0"/>
        <w:spacing w:line="240" w:lineRule="atLeast"/>
        <w:rPr>
          <w:rFonts w:cs="Times New Roman"/>
        </w:rPr>
      </w:pPr>
    </w:p>
    <w:p w:rsidR="00A614C1" w:rsidRDefault="00A614C1" w:rsidP="00175A87">
      <w:pPr>
        <w:pStyle w:val="Heading3"/>
        <w:widowControl w:val="0"/>
        <w:snapToGrid w:val="0"/>
        <w:spacing w:line="240" w:lineRule="atLeast"/>
        <w:rPr>
          <w:rFonts w:ascii="黑体" w:cs="Times New Roman"/>
          <w:color w:val="000000"/>
        </w:rPr>
      </w:pPr>
      <w:r>
        <w:rPr>
          <w:rFonts w:cs="黑体" w:hint="eastAsia"/>
        </w:rPr>
        <w:t>【公示公告】</w:t>
      </w:r>
    </w:p>
    <w:p w:rsidR="00A614C1" w:rsidRDefault="00A614C1" w:rsidP="00175A87">
      <w:pPr>
        <w:snapToGrid w:val="0"/>
        <w:spacing w:line="240" w:lineRule="atLeast"/>
        <w:jc w:val="center"/>
        <w:rPr>
          <w:rFonts w:ascii="黑体" w:eastAsia="黑体"/>
          <w:b/>
          <w:bCs/>
          <w:color w:val="000000"/>
          <w:sz w:val="32"/>
          <w:szCs w:val="32"/>
        </w:rPr>
      </w:pPr>
    </w:p>
    <w:p w:rsidR="00A614C1" w:rsidRDefault="00A614C1" w:rsidP="00175A87">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2020</w:t>
      </w:r>
      <w:r>
        <w:rPr>
          <w:rFonts w:ascii="黑体" w:eastAsia="黑体" w:cs="黑体" w:hint="eastAsia"/>
          <w:b/>
          <w:bCs/>
          <w:color w:val="000000"/>
          <w:sz w:val="32"/>
          <w:szCs w:val="32"/>
        </w:rPr>
        <w:t>年</w:t>
      </w:r>
      <w:r>
        <w:rPr>
          <w:rFonts w:ascii="黑体" w:eastAsia="黑体" w:cs="黑体"/>
          <w:b/>
          <w:bCs/>
          <w:color w:val="000000"/>
          <w:sz w:val="32"/>
          <w:szCs w:val="32"/>
        </w:rPr>
        <w:t>4</w:t>
      </w:r>
      <w:r>
        <w:rPr>
          <w:rFonts w:ascii="黑体" w:eastAsia="黑体" w:cs="黑体" w:hint="eastAsia"/>
          <w:b/>
          <w:bCs/>
          <w:color w:val="000000"/>
          <w:sz w:val="32"/>
          <w:szCs w:val="32"/>
        </w:rPr>
        <w:t>月份资质受理情况</w:t>
      </w:r>
    </w:p>
    <w:p w:rsidR="00A614C1" w:rsidRDefault="00A614C1" w:rsidP="00175A87">
      <w:pPr>
        <w:snapToGrid w:val="0"/>
        <w:spacing w:line="240" w:lineRule="atLeast"/>
        <w:jc w:val="center"/>
        <w:rPr>
          <w:rFonts w:ascii="黑体" w:eastAsia="黑体"/>
          <w:b/>
          <w:bCs/>
          <w:color w:val="000000"/>
          <w:sz w:val="32"/>
          <w:szCs w:val="32"/>
        </w:rPr>
      </w:pPr>
    </w:p>
    <w:p w:rsidR="00A614C1" w:rsidRDefault="00A614C1" w:rsidP="00175A87">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:19</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A614C1">
        <w:trPr>
          <w:trHeight w:val="221"/>
          <w:jc w:val="center"/>
        </w:trPr>
        <w:tc>
          <w:tcPr>
            <w:tcW w:w="1368" w:type="dxa"/>
            <w:vAlign w:val="center"/>
          </w:tcPr>
          <w:p w:rsidR="00A614C1" w:rsidRPr="00175A87" w:rsidRDefault="00A614C1" w:rsidP="00046A8C">
            <w:pPr>
              <w:snapToGrid w:val="0"/>
              <w:spacing w:line="240" w:lineRule="atLeast"/>
              <w:jc w:val="center"/>
              <w:textAlignment w:val="center"/>
              <w:rPr>
                <w:rFonts w:ascii="仿宋_GB2312" w:eastAsia="仿宋_GB2312"/>
                <w:b/>
                <w:bCs/>
              </w:rPr>
            </w:pPr>
            <w:r w:rsidRPr="00175A87">
              <w:rPr>
                <w:rFonts w:ascii="仿宋_GB2312" w:eastAsia="仿宋_GB2312" w:cs="仿宋_GB2312" w:hint="eastAsia"/>
                <w:b/>
                <w:bCs/>
              </w:rPr>
              <w:t>批准日期</w:t>
            </w:r>
          </w:p>
        </w:tc>
        <w:tc>
          <w:tcPr>
            <w:tcW w:w="4200" w:type="dxa"/>
            <w:vAlign w:val="center"/>
          </w:tcPr>
          <w:p w:rsidR="00A614C1" w:rsidRPr="00175A87" w:rsidRDefault="00A614C1" w:rsidP="00046A8C">
            <w:pPr>
              <w:snapToGrid w:val="0"/>
              <w:spacing w:line="240" w:lineRule="atLeast"/>
              <w:jc w:val="center"/>
              <w:textAlignment w:val="center"/>
              <w:rPr>
                <w:rFonts w:ascii="仿宋_GB2312" w:eastAsia="仿宋_GB2312"/>
                <w:b/>
                <w:bCs/>
              </w:rPr>
            </w:pPr>
            <w:r w:rsidRPr="00175A87">
              <w:rPr>
                <w:rFonts w:ascii="仿宋_GB2312" w:eastAsia="仿宋_GB2312" w:cs="仿宋_GB2312" w:hint="eastAsia"/>
                <w:b/>
                <w:bCs/>
              </w:rPr>
              <w:t>企业名称</w:t>
            </w:r>
          </w:p>
        </w:tc>
        <w:tc>
          <w:tcPr>
            <w:tcW w:w="3453" w:type="dxa"/>
            <w:vAlign w:val="center"/>
          </w:tcPr>
          <w:p w:rsidR="00A614C1" w:rsidRPr="00175A87" w:rsidRDefault="00A614C1" w:rsidP="00046A8C">
            <w:pPr>
              <w:snapToGrid w:val="0"/>
              <w:spacing w:line="240" w:lineRule="atLeast"/>
              <w:jc w:val="center"/>
              <w:textAlignment w:val="center"/>
              <w:rPr>
                <w:rFonts w:ascii="仿宋_GB2312" w:eastAsia="仿宋_GB2312"/>
                <w:b/>
                <w:bCs/>
              </w:rPr>
            </w:pPr>
            <w:r w:rsidRPr="00175A87">
              <w:rPr>
                <w:rFonts w:ascii="仿宋_GB2312" w:eastAsia="仿宋_GB2312" w:cs="仿宋_GB2312" w:hint="eastAsia"/>
                <w:b/>
                <w:bCs/>
              </w:rPr>
              <w:t>资质情况</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上海石化机械制造有限公司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上海鲁阳建设工程有限公司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模板脚手架不分级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上海彦瑶建设工程有限公司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模板脚手架不分级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上海兆蓝数码科技有限公司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电子和智能化工程二级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龙典建筑发展（上海）有限公司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上海遥望射线防护工程有限公司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建筑工程三级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上海潮凌建筑劳务中心</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上海正烈建筑劳务工程队</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上海诚势建设工程有限公司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模板脚手架不分级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上海沪叶机电设备安装有限公司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建筑机电安装工程三级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高庆建设开发（上海）有限公司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建筑机电安装工程三级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信路市政养护建设工程（上海）有限公司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市政公用工程三级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上海云京建筑工程有限公司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上海青晟建筑工程有限公司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硕卓建设发展（上海）有限公司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市政公用工程三级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上海华语装饰工程有限公司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建筑装修装饰工程二级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2020-4-23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上海旻普建设工程有限公司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2020-4-23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上海康卉装饰工程有限公司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建筑装修装饰工程二级</w:t>
            </w:r>
          </w:p>
        </w:tc>
      </w:tr>
      <w:tr w:rsidR="00A614C1">
        <w:trPr>
          <w:trHeight w:hRule="exact" w:val="397"/>
          <w:jc w:val="center"/>
        </w:trPr>
        <w:tc>
          <w:tcPr>
            <w:tcW w:w="1368" w:type="dxa"/>
            <w:vAlign w:val="center"/>
          </w:tcPr>
          <w:p w:rsidR="00A614C1" w:rsidRPr="00FA0C52" w:rsidRDefault="00A614C1">
            <w:pPr>
              <w:jc w:val="center"/>
              <w:rPr>
                <w:rFonts w:ascii="仿宋_GB2312" w:eastAsia="仿宋_GB2312"/>
              </w:rPr>
            </w:pPr>
            <w:r w:rsidRPr="00FA0C52">
              <w:rPr>
                <w:rFonts w:ascii="仿宋_GB2312" w:eastAsia="仿宋_GB2312" w:cs="仿宋_GB2312"/>
              </w:rPr>
              <w:t>2020-4-23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上海典发建筑劳务工程有限公司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bl>
    <w:p w:rsidR="00A614C1" w:rsidRDefault="00A614C1" w:rsidP="00175A87">
      <w:pPr>
        <w:snapToGrid w:val="0"/>
        <w:spacing w:line="240" w:lineRule="atLeast"/>
        <w:textAlignment w:val="center"/>
        <w:rPr>
          <w:rFonts w:ascii="仿宋_GB2312" w:eastAsia="仿宋_GB2312"/>
          <w:b/>
          <w:bCs/>
          <w:sz w:val="24"/>
          <w:szCs w:val="24"/>
        </w:rPr>
      </w:pPr>
    </w:p>
    <w:p w:rsidR="00A614C1" w:rsidRDefault="00A614C1" w:rsidP="00175A87">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:2</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A614C1">
        <w:trPr>
          <w:trHeight w:val="221"/>
        </w:trPr>
        <w:tc>
          <w:tcPr>
            <w:tcW w:w="1368" w:type="dxa"/>
            <w:vAlign w:val="center"/>
          </w:tcPr>
          <w:p w:rsidR="00A614C1" w:rsidRPr="00175A87" w:rsidRDefault="00A614C1" w:rsidP="00046A8C">
            <w:pPr>
              <w:snapToGrid w:val="0"/>
              <w:spacing w:line="240" w:lineRule="atLeast"/>
              <w:jc w:val="center"/>
              <w:textAlignment w:val="center"/>
              <w:rPr>
                <w:rFonts w:ascii="仿宋_GB2312" w:eastAsia="仿宋_GB2312"/>
                <w:b/>
                <w:bCs/>
              </w:rPr>
            </w:pPr>
            <w:r w:rsidRPr="00175A87">
              <w:rPr>
                <w:rFonts w:ascii="仿宋_GB2312" w:eastAsia="仿宋_GB2312" w:cs="仿宋_GB2312" w:hint="eastAsia"/>
                <w:b/>
                <w:bCs/>
              </w:rPr>
              <w:t>批准日期</w:t>
            </w:r>
          </w:p>
        </w:tc>
        <w:tc>
          <w:tcPr>
            <w:tcW w:w="4200" w:type="dxa"/>
            <w:vAlign w:val="center"/>
          </w:tcPr>
          <w:p w:rsidR="00A614C1" w:rsidRPr="00175A87" w:rsidRDefault="00A614C1" w:rsidP="00046A8C">
            <w:pPr>
              <w:snapToGrid w:val="0"/>
              <w:spacing w:line="240" w:lineRule="atLeast"/>
              <w:jc w:val="center"/>
              <w:textAlignment w:val="center"/>
              <w:rPr>
                <w:rFonts w:ascii="仿宋_GB2312" w:eastAsia="仿宋_GB2312"/>
                <w:b/>
                <w:bCs/>
              </w:rPr>
            </w:pPr>
            <w:r w:rsidRPr="00175A87">
              <w:rPr>
                <w:rFonts w:ascii="仿宋_GB2312" w:eastAsia="仿宋_GB2312" w:cs="仿宋_GB2312" w:hint="eastAsia"/>
                <w:b/>
                <w:bCs/>
              </w:rPr>
              <w:t>企业名称</w:t>
            </w:r>
          </w:p>
        </w:tc>
        <w:tc>
          <w:tcPr>
            <w:tcW w:w="3453" w:type="dxa"/>
            <w:vAlign w:val="center"/>
          </w:tcPr>
          <w:p w:rsidR="00A614C1" w:rsidRPr="00175A87" w:rsidRDefault="00A614C1" w:rsidP="00046A8C">
            <w:pPr>
              <w:snapToGrid w:val="0"/>
              <w:spacing w:line="240" w:lineRule="atLeast"/>
              <w:jc w:val="center"/>
              <w:textAlignment w:val="center"/>
              <w:rPr>
                <w:rFonts w:ascii="仿宋_GB2312" w:eastAsia="仿宋_GB2312"/>
                <w:b/>
                <w:bCs/>
              </w:rPr>
            </w:pPr>
            <w:r w:rsidRPr="00175A87">
              <w:rPr>
                <w:rFonts w:ascii="仿宋_GB2312" w:eastAsia="仿宋_GB2312" w:cs="仿宋_GB2312" w:hint="eastAsia"/>
                <w:b/>
                <w:bCs/>
              </w:rPr>
              <w:t>资质情况</w:t>
            </w:r>
          </w:p>
        </w:tc>
      </w:tr>
      <w:tr w:rsidR="00A614C1">
        <w:trPr>
          <w:trHeight w:hRule="exact" w:val="397"/>
        </w:trPr>
        <w:tc>
          <w:tcPr>
            <w:tcW w:w="1368"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上海蓬远电器安装工程有限公司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施工劳务企业资质不分级</w:t>
            </w:r>
          </w:p>
        </w:tc>
      </w:tr>
      <w:tr w:rsidR="00A614C1">
        <w:trPr>
          <w:trHeight w:hRule="exact" w:val="397"/>
        </w:trPr>
        <w:tc>
          <w:tcPr>
            <w:tcW w:w="1368"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rPr>
              <w:t>2020-4-3</w:t>
            </w:r>
          </w:p>
        </w:tc>
        <w:tc>
          <w:tcPr>
            <w:tcW w:w="4200"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上海森安建设工程有限公司</w:t>
            </w:r>
          </w:p>
        </w:tc>
        <w:tc>
          <w:tcPr>
            <w:tcW w:w="3453" w:type="dxa"/>
            <w:vAlign w:val="center"/>
          </w:tcPr>
          <w:p w:rsidR="00A614C1" w:rsidRPr="00FA0C52" w:rsidRDefault="00A614C1" w:rsidP="00FA0C52">
            <w:pPr>
              <w:jc w:val="center"/>
              <w:rPr>
                <w:rFonts w:ascii="仿宋_GB2312" w:eastAsia="仿宋_GB2312"/>
              </w:rPr>
            </w:pPr>
            <w:r w:rsidRPr="00FA0C52">
              <w:rPr>
                <w:rFonts w:ascii="仿宋_GB2312" w:eastAsia="仿宋_GB2312" w:cs="仿宋_GB2312" w:hint="eastAsia"/>
              </w:rPr>
              <w:t>市政公用工程三级</w:t>
            </w:r>
          </w:p>
        </w:tc>
      </w:tr>
    </w:tbl>
    <w:p w:rsidR="00A614C1" w:rsidRDefault="00A614C1" w:rsidP="00175A87">
      <w:pPr>
        <w:snapToGrid w:val="0"/>
        <w:spacing w:line="240" w:lineRule="atLeast"/>
        <w:rPr>
          <w:rFonts w:ascii="仿宋_GB2312" w:eastAsia="仿宋_GB2312"/>
          <w:b/>
          <w:bCs/>
          <w:sz w:val="24"/>
          <w:szCs w:val="24"/>
        </w:rPr>
      </w:pPr>
    </w:p>
    <w:p w:rsidR="00A614C1" w:rsidRDefault="00A614C1" w:rsidP="00175A87">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A614C1">
        <w:trPr>
          <w:trHeight w:val="220"/>
        </w:trPr>
        <w:tc>
          <w:tcPr>
            <w:tcW w:w="1368" w:type="dxa"/>
            <w:vAlign w:val="center"/>
          </w:tcPr>
          <w:p w:rsidR="00A614C1" w:rsidRPr="00175A87" w:rsidRDefault="00A614C1" w:rsidP="00175A87">
            <w:pPr>
              <w:snapToGrid w:val="0"/>
              <w:spacing w:line="240" w:lineRule="atLeast"/>
              <w:jc w:val="center"/>
              <w:rPr>
                <w:rFonts w:ascii="仿宋_GB2312" w:eastAsia="仿宋_GB2312"/>
                <w:b/>
                <w:bCs/>
              </w:rPr>
            </w:pPr>
            <w:r w:rsidRPr="00175A87">
              <w:rPr>
                <w:rFonts w:ascii="仿宋_GB2312" w:eastAsia="仿宋_GB2312" w:cs="仿宋_GB2312" w:hint="eastAsia"/>
                <w:b/>
                <w:bCs/>
              </w:rPr>
              <w:t>批准日期</w:t>
            </w:r>
          </w:p>
        </w:tc>
        <w:tc>
          <w:tcPr>
            <w:tcW w:w="4200" w:type="dxa"/>
            <w:vAlign w:val="center"/>
          </w:tcPr>
          <w:p w:rsidR="00A614C1" w:rsidRPr="00175A87" w:rsidRDefault="00A614C1" w:rsidP="00175A87">
            <w:pPr>
              <w:snapToGrid w:val="0"/>
              <w:spacing w:line="240" w:lineRule="atLeast"/>
              <w:jc w:val="center"/>
              <w:rPr>
                <w:rFonts w:ascii="仿宋_GB2312" w:eastAsia="仿宋_GB2312"/>
                <w:b/>
                <w:bCs/>
              </w:rPr>
            </w:pPr>
            <w:r w:rsidRPr="00175A87">
              <w:rPr>
                <w:rFonts w:ascii="仿宋_GB2312" w:eastAsia="仿宋_GB2312" w:cs="仿宋_GB2312" w:hint="eastAsia"/>
                <w:b/>
                <w:bCs/>
              </w:rPr>
              <w:t>企业名称</w:t>
            </w:r>
          </w:p>
        </w:tc>
        <w:tc>
          <w:tcPr>
            <w:tcW w:w="3453" w:type="dxa"/>
            <w:vAlign w:val="center"/>
          </w:tcPr>
          <w:p w:rsidR="00A614C1" w:rsidRPr="00175A87" w:rsidRDefault="00A614C1" w:rsidP="00175A87">
            <w:pPr>
              <w:snapToGrid w:val="0"/>
              <w:spacing w:line="240" w:lineRule="atLeast"/>
              <w:jc w:val="center"/>
              <w:rPr>
                <w:rFonts w:ascii="仿宋_GB2312" w:eastAsia="仿宋_GB2312"/>
                <w:b/>
                <w:bCs/>
              </w:rPr>
            </w:pPr>
            <w:r w:rsidRPr="00175A87">
              <w:rPr>
                <w:rFonts w:ascii="仿宋_GB2312" w:eastAsia="仿宋_GB2312" w:cs="仿宋_GB2312" w:hint="eastAsia"/>
                <w:b/>
                <w:bCs/>
              </w:rPr>
              <w:t>资质情况</w:t>
            </w:r>
          </w:p>
        </w:tc>
      </w:tr>
      <w:tr w:rsidR="00A614C1">
        <w:trPr>
          <w:trHeight w:val="397"/>
        </w:trPr>
        <w:tc>
          <w:tcPr>
            <w:tcW w:w="1368" w:type="dxa"/>
            <w:vAlign w:val="center"/>
          </w:tcPr>
          <w:p w:rsidR="00A614C1" w:rsidRPr="005C7D15" w:rsidRDefault="00A614C1" w:rsidP="00175A87">
            <w:pPr>
              <w:spacing w:line="240" w:lineRule="atLeast"/>
              <w:jc w:val="center"/>
              <w:rPr>
                <w:rFonts w:ascii="仿宋_GB2312" w:eastAsia="仿宋_GB2312"/>
              </w:rPr>
            </w:pPr>
          </w:p>
        </w:tc>
        <w:tc>
          <w:tcPr>
            <w:tcW w:w="4200" w:type="dxa"/>
            <w:vAlign w:val="center"/>
          </w:tcPr>
          <w:p w:rsidR="00A614C1" w:rsidRPr="005C7D15" w:rsidRDefault="00A614C1" w:rsidP="00175A87">
            <w:pPr>
              <w:spacing w:line="240" w:lineRule="atLeast"/>
              <w:jc w:val="center"/>
              <w:rPr>
                <w:rFonts w:ascii="仿宋_GB2312" w:eastAsia="仿宋_GB2312"/>
              </w:rPr>
            </w:pPr>
          </w:p>
        </w:tc>
        <w:tc>
          <w:tcPr>
            <w:tcW w:w="3453" w:type="dxa"/>
            <w:vAlign w:val="center"/>
          </w:tcPr>
          <w:p w:rsidR="00A614C1" w:rsidRPr="005C7D15" w:rsidRDefault="00A614C1" w:rsidP="00175A87">
            <w:pPr>
              <w:spacing w:line="240" w:lineRule="atLeast"/>
              <w:jc w:val="center"/>
              <w:rPr>
                <w:rFonts w:ascii="仿宋_GB2312" w:eastAsia="仿宋_GB2312"/>
              </w:rPr>
            </w:pPr>
          </w:p>
        </w:tc>
      </w:tr>
    </w:tbl>
    <w:p w:rsidR="00A614C1" w:rsidRDefault="00A614C1" w:rsidP="00175A87">
      <w:pPr>
        <w:snapToGrid w:val="0"/>
        <w:spacing w:line="240" w:lineRule="atLeast"/>
        <w:rPr>
          <w:rFonts w:ascii="黑体" w:eastAsia="黑体"/>
          <w:b/>
          <w:bCs/>
          <w:sz w:val="32"/>
          <w:szCs w:val="32"/>
        </w:rPr>
        <w:sectPr w:rsidR="00A614C1">
          <w:headerReference w:type="default" r:id="rId6"/>
          <w:footerReference w:type="default" r:id="rId7"/>
          <w:pgSz w:w="11906" w:h="16838"/>
          <w:pgMar w:top="1440" w:right="1304" w:bottom="1440" w:left="1797" w:header="851" w:footer="992" w:gutter="0"/>
          <w:cols w:space="425"/>
          <w:docGrid w:linePitch="312"/>
        </w:sectPr>
      </w:pPr>
    </w:p>
    <w:p w:rsidR="00A614C1" w:rsidRDefault="00A614C1" w:rsidP="00D9692A">
      <w:pPr>
        <w:snapToGrid w:val="0"/>
        <w:spacing w:line="240" w:lineRule="atLeast"/>
        <w:jc w:val="center"/>
        <w:rPr>
          <w:rFonts w:ascii="黑体" w:eastAsia="黑体"/>
          <w:b/>
          <w:bCs/>
          <w:sz w:val="32"/>
          <w:szCs w:val="32"/>
        </w:rPr>
      </w:pPr>
    </w:p>
    <w:p w:rsidR="00A614C1" w:rsidRDefault="00A614C1" w:rsidP="00D9692A">
      <w:pPr>
        <w:snapToGrid w:val="0"/>
        <w:spacing w:line="240" w:lineRule="atLeast"/>
        <w:jc w:val="center"/>
        <w:rPr>
          <w:rFonts w:ascii="黑体" w:eastAsia="黑体"/>
          <w:b/>
          <w:bCs/>
          <w:sz w:val="32"/>
          <w:szCs w:val="32"/>
        </w:rPr>
      </w:pPr>
      <w:r>
        <w:rPr>
          <w:rFonts w:ascii="黑体" w:eastAsia="黑体" w:cs="黑体"/>
          <w:b/>
          <w:bCs/>
          <w:sz w:val="32"/>
          <w:szCs w:val="32"/>
        </w:rPr>
        <w:t>2020</w:t>
      </w:r>
      <w:r>
        <w:rPr>
          <w:rFonts w:ascii="黑体" w:eastAsia="黑体" w:cs="黑体" w:hint="eastAsia"/>
          <w:b/>
          <w:bCs/>
          <w:sz w:val="32"/>
          <w:szCs w:val="32"/>
        </w:rPr>
        <w:t>年月</w:t>
      </w:r>
      <w:r>
        <w:rPr>
          <w:rFonts w:ascii="黑体" w:eastAsia="黑体" w:cs="黑体"/>
          <w:b/>
          <w:bCs/>
          <w:sz w:val="32"/>
          <w:szCs w:val="32"/>
        </w:rPr>
        <w:t>4</w:t>
      </w:r>
      <w:r>
        <w:rPr>
          <w:rFonts w:ascii="黑体" w:eastAsia="黑体" w:cs="黑体" w:hint="eastAsia"/>
          <w:b/>
          <w:bCs/>
          <w:sz w:val="32"/>
          <w:szCs w:val="32"/>
        </w:rPr>
        <w:t>金山区建设工程施工招投标项目清单</w:t>
      </w:r>
    </w:p>
    <w:p w:rsidR="00A614C1" w:rsidRPr="007D2C18" w:rsidRDefault="00A614C1" w:rsidP="00E87632">
      <w:pPr>
        <w:snapToGrid w:val="0"/>
        <w:spacing w:line="240" w:lineRule="atLeast"/>
        <w:rPr>
          <w:rFonts w:ascii="黑体" w:eastAsia="黑体"/>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1266"/>
        <w:gridCol w:w="737"/>
        <w:gridCol w:w="2062"/>
        <w:gridCol w:w="3701"/>
        <w:gridCol w:w="2270"/>
        <w:gridCol w:w="1575"/>
        <w:gridCol w:w="1161"/>
        <w:gridCol w:w="838"/>
      </w:tblGrid>
      <w:tr w:rsidR="00A614C1">
        <w:trPr>
          <w:trHeight w:hRule="exact" w:val="567"/>
        </w:trPr>
        <w:tc>
          <w:tcPr>
            <w:tcW w:w="0" w:type="auto"/>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0" w:type="auto"/>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0" w:type="auto"/>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0" w:type="auto"/>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0" w:type="auto"/>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270" w:type="dxa"/>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575" w:type="dxa"/>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中标价（万元）</w:t>
            </w:r>
          </w:p>
        </w:tc>
        <w:tc>
          <w:tcPr>
            <w:tcW w:w="1093" w:type="dxa"/>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0" w:type="auto"/>
            <w:vAlign w:val="center"/>
          </w:tcPr>
          <w:p w:rsidR="00A614C1" w:rsidRDefault="00A614C1" w:rsidP="00175A87">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A614C1">
        <w:trPr>
          <w:trHeight w:hRule="exact" w:val="56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1</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2002JS0015</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上海市金山区亭林镇人民政府</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“四好农村路”亭林镇后池路提档升级工程</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上海增源建设工程</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r w:rsidRPr="00E87632">
              <w:rPr>
                <w:rFonts w:ascii="仿宋_GB2312" w:eastAsia="仿宋_GB2312" w:cs="仿宋_GB2312"/>
              </w:rPr>
              <w:t xml:space="preserve"> </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826.9132</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56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2</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2002JS0005</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上海市金山区朱泾镇人民政府</w:t>
            </w:r>
            <w:r w:rsidRPr="00E87632">
              <w:rPr>
                <w:rFonts w:ascii="仿宋_GB2312" w:eastAsia="仿宋_GB2312" w:cs="仿宋_GB2312"/>
              </w:rPr>
              <w:t xml:space="preserve"> </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“四好农村路”朱泾镇蒋泾中心路提档升级工程</w:t>
            </w:r>
            <w:r w:rsidRPr="00E87632">
              <w:rPr>
                <w:rFonts w:ascii="仿宋_GB2312" w:eastAsia="仿宋_GB2312" w:cs="仿宋_GB2312"/>
              </w:rPr>
              <w:t xml:space="preserve"> </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上海金山公路建设</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1618.0826</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74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3</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1902JS0226</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上海实验动物研究中心</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实验大动物试验平台</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厦门辉煌装修工程</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636.3434</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74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4</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1902JS0225</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上海市金山区亭林镇人民政府</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2019</w:t>
            </w:r>
            <w:r w:rsidRPr="00E87632">
              <w:rPr>
                <w:rFonts w:ascii="仿宋_GB2312" w:eastAsia="仿宋_GB2312" w:cs="仿宋_GB2312" w:hint="eastAsia"/>
              </w:rPr>
              <w:t>年度亭林镇村庄改造项目（提高版）</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上海亭全建设工程</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439.7172</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74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5</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1902JS0214</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上海市金山区亭林镇人民政府</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亭林镇排水管网修复工程（松隐社区和西部工业区）</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上海盛秋市政工程</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r w:rsidRPr="00E87632">
              <w:rPr>
                <w:rFonts w:ascii="仿宋_GB2312" w:eastAsia="仿宋_GB2312" w:cs="仿宋_GB2312"/>
              </w:rPr>
              <w:t xml:space="preserve"> </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 xml:space="preserve">1013.9980 </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74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6</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1902JS0179</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C02</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上海益坤房地产开发有限公司</w:t>
            </w:r>
            <w:r w:rsidRPr="00E87632">
              <w:rPr>
                <w:rFonts w:ascii="仿宋_GB2312" w:eastAsia="仿宋_GB2312" w:cs="仿宋_GB2312"/>
              </w:rPr>
              <w:t xml:space="preserve"> </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金山新城</w:t>
            </w:r>
            <w:r w:rsidRPr="00E87632">
              <w:rPr>
                <w:rFonts w:ascii="仿宋_GB2312" w:eastAsia="仿宋_GB2312" w:cs="仿宋_GB2312"/>
              </w:rPr>
              <w:t>JSC1-0401</w:t>
            </w:r>
            <w:r w:rsidRPr="00E87632">
              <w:rPr>
                <w:rFonts w:ascii="仿宋_GB2312" w:eastAsia="仿宋_GB2312" w:cs="仿宋_GB2312" w:hint="eastAsia"/>
              </w:rPr>
              <w:t>单元</w:t>
            </w:r>
            <w:r w:rsidRPr="00E87632">
              <w:rPr>
                <w:rFonts w:ascii="仿宋_GB2312" w:eastAsia="仿宋_GB2312" w:cs="仿宋_GB2312"/>
              </w:rPr>
              <w:t>1-01-01</w:t>
            </w:r>
            <w:r w:rsidRPr="00E87632">
              <w:rPr>
                <w:rFonts w:ascii="仿宋_GB2312" w:eastAsia="仿宋_GB2312" w:cs="仿宋_GB2312" w:hint="eastAsia"/>
              </w:rPr>
              <w:t>地块（二标段）</w:t>
            </w:r>
            <w:r w:rsidRPr="00E87632">
              <w:rPr>
                <w:rFonts w:ascii="仿宋_GB2312" w:eastAsia="仿宋_GB2312" w:cs="仿宋_GB2312"/>
              </w:rPr>
              <w:t xml:space="preserve"> </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上海明鹏建设集团</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43123.1235</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123220.75</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74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7</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1902JS0152</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上海市金山区水利管理所</w:t>
            </w:r>
            <w:r w:rsidRPr="00E87632">
              <w:rPr>
                <w:rFonts w:ascii="仿宋_GB2312" w:eastAsia="仿宋_GB2312" w:cs="仿宋_GB2312"/>
              </w:rPr>
              <w:t xml:space="preserve"> </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金山区</w:t>
            </w:r>
            <w:r w:rsidRPr="00E87632">
              <w:rPr>
                <w:rFonts w:ascii="仿宋_GB2312" w:eastAsia="仿宋_GB2312" w:cs="仿宋_GB2312"/>
              </w:rPr>
              <w:t>2019</w:t>
            </w:r>
            <w:r w:rsidRPr="00E87632">
              <w:rPr>
                <w:rFonts w:ascii="仿宋_GB2312" w:eastAsia="仿宋_GB2312" w:cs="仿宋_GB2312" w:hint="eastAsia"/>
              </w:rPr>
              <w:t>年东片农村生活污水处理工程</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上海石化城市建设</w:t>
            </w:r>
          </w:p>
          <w:p w:rsidR="00A614C1" w:rsidRPr="00E87632" w:rsidRDefault="00A614C1">
            <w:pPr>
              <w:jc w:val="center"/>
              <w:rPr>
                <w:rFonts w:ascii="仿宋_GB2312" w:eastAsia="仿宋_GB2312"/>
              </w:rPr>
            </w:pPr>
            <w:r w:rsidRPr="00E87632">
              <w:rPr>
                <w:rFonts w:ascii="仿宋_GB2312" w:eastAsia="仿宋_GB2312" w:cs="仿宋_GB2312" w:hint="eastAsia"/>
              </w:rPr>
              <w:t>工程有限公司</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26093.2258</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r w:rsidR="00A614C1">
        <w:trPr>
          <w:trHeight w:hRule="exact" w:val="747"/>
        </w:trPr>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rPr>
              <w:t>8</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1902JS0131</w:t>
            </w:r>
          </w:p>
        </w:tc>
        <w:tc>
          <w:tcPr>
            <w:tcW w:w="0" w:type="auto"/>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C01</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上海市金山区吕巷镇人民政府</w:t>
            </w:r>
            <w:r w:rsidRPr="00E87632">
              <w:rPr>
                <w:rFonts w:ascii="仿宋_GB2312" w:eastAsia="仿宋_GB2312" w:cs="仿宋_GB2312"/>
              </w:rPr>
              <w:t xml:space="preserve"> </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吕巷镇荣田路（荣昌路</w:t>
            </w:r>
            <w:r w:rsidRPr="00E87632">
              <w:rPr>
                <w:rFonts w:ascii="仿宋_GB2312" w:eastAsia="仿宋_GB2312" w:cs="仿宋_GB2312"/>
              </w:rPr>
              <w:t>-</w:t>
            </w:r>
            <w:r w:rsidRPr="00E87632">
              <w:rPr>
                <w:rFonts w:ascii="仿宋_GB2312" w:eastAsia="仿宋_GB2312" w:cs="仿宋_GB2312" w:hint="eastAsia"/>
              </w:rPr>
              <w:t>红光路）道路工程</w:t>
            </w:r>
          </w:p>
        </w:tc>
        <w:tc>
          <w:tcPr>
            <w:tcW w:w="2270" w:type="dxa"/>
            <w:vAlign w:val="center"/>
          </w:tcPr>
          <w:p w:rsidR="00A614C1" w:rsidRDefault="00A614C1">
            <w:pPr>
              <w:jc w:val="center"/>
              <w:rPr>
                <w:rFonts w:ascii="仿宋_GB2312" w:eastAsia="仿宋_GB2312"/>
              </w:rPr>
            </w:pPr>
            <w:r w:rsidRPr="00E87632">
              <w:rPr>
                <w:rFonts w:ascii="仿宋_GB2312" w:eastAsia="仿宋_GB2312" w:cs="仿宋_GB2312" w:hint="eastAsia"/>
              </w:rPr>
              <w:t>金工建设集团股份</w:t>
            </w:r>
          </w:p>
          <w:p w:rsidR="00A614C1" w:rsidRPr="00E87632" w:rsidRDefault="00A614C1">
            <w:pPr>
              <w:jc w:val="center"/>
              <w:rPr>
                <w:rFonts w:ascii="仿宋_GB2312" w:eastAsia="仿宋_GB2312"/>
              </w:rPr>
            </w:pPr>
            <w:r w:rsidRPr="00E87632">
              <w:rPr>
                <w:rFonts w:ascii="仿宋_GB2312" w:eastAsia="仿宋_GB2312" w:cs="仿宋_GB2312" w:hint="eastAsia"/>
              </w:rPr>
              <w:t>有限公司</w:t>
            </w:r>
            <w:r w:rsidRPr="00E87632">
              <w:rPr>
                <w:rFonts w:ascii="仿宋_GB2312" w:eastAsia="仿宋_GB2312" w:cs="仿宋_GB2312"/>
              </w:rPr>
              <w:t xml:space="preserve"> </w:t>
            </w:r>
          </w:p>
        </w:tc>
        <w:tc>
          <w:tcPr>
            <w:tcW w:w="1575"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2372.8646</w:t>
            </w:r>
          </w:p>
        </w:tc>
        <w:tc>
          <w:tcPr>
            <w:tcW w:w="1093" w:type="dxa"/>
            <w:vAlign w:val="center"/>
          </w:tcPr>
          <w:p w:rsidR="00A614C1" w:rsidRPr="00E87632" w:rsidRDefault="00A614C1">
            <w:pPr>
              <w:jc w:val="center"/>
              <w:rPr>
                <w:rFonts w:ascii="仿宋_GB2312" w:eastAsia="仿宋_GB2312" w:cs="仿宋_GB2312"/>
              </w:rPr>
            </w:pPr>
            <w:r w:rsidRPr="00E87632">
              <w:rPr>
                <w:rFonts w:ascii="仿宋_GB2312" w:eastAsia="仿宋_GB2312" w:cs="仿宋_GB2312"/>
              </w:rPr>
              <w:t>0</w:t>
            </w:r>
          </w:p>
        </w:tc>
        <w:tc>
          <w:tcPr>
            <w:tcW w:w="0" w:type="auto"/>
            <w:vAlign w:val="center"/>
          </w:tcPr>
          <w:p w:rsidR="00A614C1" w:rsidRPr="00E87632" w:rsidRDefault="00A614C1">
            <w:pPr>
              <w:jc w:val="center"/>
              <w:rPr>
                <w:rFonts w:ascii="仿宋_GB2312" w:eastAsia="仿宋_GB2312"/>
              </w:rPr>
            </w:pPr>
            <w:r w:rsidRPr="00E87632">
              <w:rPr>
                <w:rFonts w:ascii="仿宋_GB2312" w:eastAsia="仿宋_GB2312" w:cs="仿宋_GB2312" w:hint="eastAsia"/>
              </w:rPr>
              <w:t>公开招标</w:t>
            </w:r>
            <w:r w:rsidRPr="00E87632">
              <w:rPr>
                <w:rFonts w:ascii="仿宋_GB2312" w:eastAsia="仿宋_GB2312" w:cs="仿宋_GB2312"/>
              </w:rPr>
              <w:t xml:space="preserve"> </w:t>
            </w:r>
          </w:p>
        </w:tc>
      </w:tr>
    </w:tbl>
    <w:p w:rsidR="00A614C1" w:rsidRDefault="00A614C1" w:rsidP="00982D3A">
      <w:pPr>
        <w:snapToGrid w:val="0"/>
        <w:spacing w:before="240" w:line="240" w:lineRule="atLeast"/>
      </w:pPr>
    </w:p>
    <w:sectPr w:rsidR="00A614C1" w:rsidSect="004C0B7F">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C1" w:rsidRDefault="00A614C1" w:rsidP="004C0B7F">
      <w:r>
        <w:separator/>
      </w:r>
    </w:p>
  </w:endnote>
  <w:endnote w:type="continuationSeparator" w:id="0">
    <w:p w:rsidR="00A614C1" w:rsidRDefault="00A614C1" w:rsidP="004C0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C1" w:rsidRDefault="00A614C1">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C1" w:rsidRDefault="00A614C1" w:rsidP="004C0B7F">
      <w:r>
        <w:separator/>
      </w:r>
    </w:p>
  </w:footnote>
  <w:footnote w:type="continuationSeparator" w:id="0">
    <w:p w:rsidR="00A614C1" w:rsidRDefault="00A614C1" w:rsidP="004C0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4C1" w:rsidRDefault="00A614C1">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47ED"/>
    <w:rsid w:val="00004980"/>
    <w:rsid w:val="000049E7"/>
    <w:rsid w:val="00004D7E"/>
    <w:rsid w:val="00004E9D"/>
    <w:rsid w:val="00005221"/>
    <w:rsid w:val="0000651D"/>
    <w:rsid w:val="0000687A"/>
    <w:rsid w:val="00011114"/>
    <w:rsid w:val="00011505"/>
    <w:rsid w:val="0001228E"/>
    <w:rsid w:val="00013AB1"/>
    <w:rsid w:val="0001412D"/>
    <w:rsid w:val="0001418B"/>
    <w:rsid w:val="000155BC"/>
    <w:rsid w:val="000179CE"/>
    <w:rsid w:val="000210C8"/>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587A"/>
    <w:rsid w:val="000369DF"/>
    <w:rsid w:val="00036DFA"/>
    <w:rsid w:val="000379F5"/>
    <w:rsid w:val="00037F7D"/>
    <w:rsid w:val="000402B5"/>
    <w:rsid w:val="000407C1"/>
    <w:rsid w:val="00040872"/>
    <w:rsid w:val="00040EA1"/>
    <w:rsid w:val="00041D4F"/>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CE9"/>
    <w:rsid w:val="00072B3B"/>
    <w:rsid w:val="000730B1"/>
    <w:rsid w:val="000731F0"/>
    <w:rsid w:val="00073554"/>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75A5"/>
    <w:rsid w:val="00087F16"/>
    <w:rsid w:val="0009021A"/>
    <w:rsid w:val="00091BF0"/>
    <w:rsid w:val="00092385"/>
    <w:rsid w:val="000927AF"/>
    <w:rsid w:val="000929F6"/>
    <w:rsid w:val="0009318B"/>
    <w:rsid w:val="000931D4"/>
    <w:rsid w:val="0009469D"/>
    <w:rsid w:val="00094D20"/>
    <w:rsid w:val="000950E6"/>
    <w:rsid w:val="000953F3"/>
    <w:rsid w:val="000956BF"/>
    <w:rsid w:val="00096F97"/>
    <w:rsid w:val="00097AC0"/>
    <w:rsid w:val="00097EC9"/>
    <w:rsid w:val="00097FE0"/>
    <w:rsid w:val="000A0BAD"/>
    <w:rsid w:val="000A0D36"/>
    <w:rsid w:val="000A1043"/>
    <w:rsid w:val="000A143C"/>
    <w:rsid w:val="000A1824"/>
    <w:rsid w:val="000A28CA"/>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619"/>
    <w:rsid w:val="000B3CA3"/>
    <w:rsid w:val="000B456D"/>
    <w:rsid w:val="000B5187"/>
    <w:rsid w:val="000B6BE3"/>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D099F"/>
    <w:rsid w:val="000D3832"/>
    <w:rsid w:val="000D4B28"/>
    <w:rsid w:val="000D4B9F"/>
    <w:rsid w:val="000D57F7"/>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5488"/>
    <w:rsid w:val="00115A6F"/>
    <w:rsid w:val="00116358"/>
    <w:rsid w:val="001177FB"/>
    <w:rsid w:val="001178AF"/>
    <w:rsid w:val="001209B3"/>
    <w:rsid w:val="00120AB6"/>
    <w:rsid w:val="00120E35"/>
    <w:rsid w:val="001211A2"/>
    <w:rsid w:val="001212D9"/>
    <w:rsid w:val="0012145C"/>
    <w:rsid w:val="00121BBB"/>
    <w:rsid w:val="00123533"/>
    <w:rsid w:val="0012568D"/>
    <w:rsid w:val="0012647E"/>
    <w:rsid w:val="001273D1"/>
    <w:rsid w:val="00127731"/>
    <w:rsid w:val="00130DB9"/>
    <w:rsid w:val="00130F9F"/>
    <w:rsid w:val="0013131E"/>
    <w:rsid w:val="001313C1"/>
    <w:rsid w:val="00132842"/>
    <w:rsid w:val="00133104"/>
    <w:rsid w:val="001339E7"/>
    <w:rsid w:val="00134334"/>
    <w:rsid w:val="00134AC8"/>
    <w:rsid w:val="00135B7A"/>
    <w:rsid w:val="00136078"/>
    <w:rsid w:val="0013622A"/>
    <w:rsid w:val="001371A4"/>
    <w:rsid w:val="00137231"/>
    <w:rsid w:val="00137B83"/>
    <w:rsid w:val="001405C7"/>
    <w:rsid w:val="00140FE5"/>
    <w:rsid w:val="001411AA"/>
    <w:rsid w:val="00141FF0"/>
    <w:rsid w:val="001426FE"/>
    <w:rsid w:val="00142839"/>
    <w:rsid w:val="00142AB8"/>
    <w:rsid w:val="001430A1"/>
    <w:rsid w:val="00144813"/>
    <w:rsid w:val="00145998"/>
    <w:rsid w:val="00145EF0"/>
    <w:rsid w:val="0014620A"/>
    <w:rsid w:val="00147317"/>
    <w:rsid w:val="001473D7"/>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57F7"/>
    <w:rsid w:val="00185C83"/>
    <w:rsid w:val="00185E40"/>
    <w:rsid w:val="0018682D"/>
    <w:rsid w:val="00186A2D"/>
    <w:rsid w:val="001870E4"/>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4AFF"/>
    <w:rsid w:val="001C629D"/>
    <w:rsid w:val="001D0DDB"/>
    <w:rsid w:val="001D2332"/>
    <w:rsid w:val="001D3D2A"/>
    <w:rsid w:val="001D461B"/>
    <w:rsid w:val="001D4BAB"/>
    <w:rsid w:val="001D554A"/>
    <w:rsid w:val="001D5679"/>
    <w:rsid w:val="001D5D00"/>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54EF"/>
    <w:rsid w:val="002258B5"/>
    <w:rsid w:val="00226594"/>
    <w:rsid w:val="0022670E"/>
    <w:rsid w:val="0022701C"/>
    <w:rsid w:val="002270F3"/>
    <w:rsid w:val="002276AD"/>
    <w:rsid w:val="00227E0F"/>
    <w:rsid w:val="002302FB"/>
    <w:rsid w:val="00230C54"/>
    <w:rsid w:val="002334E7"/>
    <w:rsid w:val="002343EE"/>
    <w:rsid w:val="00234854"/>
    <w:rsid w:val="0023541F"/>
    <w:rsid w:val="00235833"/>
    <w:rsid w:val="002366E4"/>
    <w:rsid w:val="00237890"/>
    <w:rsid w:val="00240C20"/>
    <w:rsid w:val="0024137C"/>
    <w:rsid w:val="00242989"/>
    <w:rsid w:val="0024461F"/>
    <w:rsid w:val="00244A18"/>
    <w:rsid w:val="00244F68"/>
    <w:rsid w:val="002451F4"/>
    <w:rsid w:val="00246978"/>
    <w:rsid w:val="00247684"/>
    <w:rsid w:val="00247EB5"/>
    <w:rsid w:val="002509F2"/>
    <w:rsid w:val="0025194B"/>
    <w:rsid w:val="00252790"/>
    <w:rsid w:val="0025296F"/>
    <w:rsid w:val="00252E95"/>
    <w:rsid w:val="00253F20"/>
    <w:rsid w:val="002541F4"/>
    <w:rsid w:val="002543FA"/>
    <w:rsid w:val="002562D3"/>
    <w:rsid w:val="00256C37"/>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7A4"/>
    <w:rsid w:val="002B2057"/>
    <w:rsid w:val="002B32AB"/>
    <w:rsid w:val="002B39BD"/>
    <w:rsid w:val="002B3CBA"/>
    <w:rsid w:val="002B46CE"/>
    <w:rsid w:val="002B4B68"/>
    <w:rsid w:val="002B522D"/>
    <w:rsid w:val="002B54D5"/>
    <w:rsid w:val="002B5D32"/>
    <w:rsid w:val="002B62CB"/>
    <w:rsid w:val="002B6C52"/>
    <w:rsid w:val="002B6E43"/>
    <w:rsid w:val="002B70DA"/>
    <w:rsid w:val="002B721A"/>
    <w:rsid w:val="002B7568"/>
    <w:rsid w:val="002B79E1"/>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F0234"/>
    <w:rsid w:val="002F0A5B"/>
    <w:rsid w:val="002F1167"/>
    <w:rsid w:val="002F3714"/>
    <w:rsid w:val="002F4B44"/>
    <w:rsid w:val="002F5EE7"/>
    <w:rsid w:val="002F61C8"/>
    <w:rsid w:val="002F6839"/>
    <w:rsid w:val="002F7523"/>
    <w:rsid w:val="002F7FD2"/>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41F"/>
    <w:rsid w:val="00343CC6"/>
    <w:rsid w:val="00344172"/>
    <w:rsid w:val="0034449E"/>
    <w:rsid w:val="0034475A"/>
    <w:rsid w:val="00344F94"/>
    <w:rsid w:val="003455D7"/>
    <w:rsid w:val="00345AB4"/>
    <w:rsid w:val="00346585"/>
    <w:rsid w:val="00346B8C"/>
    <w:rsid w:val="00346CC8"/>
    <w:rsid w:val="003474AB"/>
    <w:rsid w:val="00351BA6"/>
    <w:rsid w:val="003531EA"/>
    <w:rsid w:val="0035353E"/>
    <w:rsid w:val="0035403B"/>
    <w:rsid w:val="00354A86"/>
    <w:rsid w:val="00355DA5"/>
    <w:rsid w:val="00357716"/>
    <w:rsid w:val="003606EA"/>
    <w:rsid w:val="003607F2"/>
    <w:rsid w:val="00361452"/>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5482"/>
    <w:rsid w:val="003B59A4"/>
    <w:rsid w:val="003B697C"/>
    <w:rsid w:val="003C0068"/>
    <w:rsid w:val="003C2BD0"/>
    <w:rsid w:val="003C5ABE"/>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21F8"/>
    <w:rsid w:val="0041232C"/>
    <w:rsid w:val="0041459C"/>
    <w:rsid w:val="004150E0"/>
    <w:rsid w:val="00415B04"/>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EEA"/>
    <w:rsid w:val="00447903"/>
    <w:rsid w:val="00447F76"/>
    <w:rsid w:val="00450A3D"/>
    <w:rsid w:val="00451A25"/>
    <w:rsid w:val="00452C3B"/>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6D08"/>
    <w:rsid w:val="004A700E"/>
    <w:rsid w:val="004B0D80"/>
    <w:rsid w:val="004B15EB"/>
    <w:rsid w:val="004B2977"/>
    <w:rsid w:val="004B5284"/>
    <w:rsid w:val="004B5FF8"/>
    <w:rsid w:val="004B7788"/>
    <w:rsid w:val="004B7B69"/>
    <w:rsid w:val="004B7E8F"/>
    <w:rsid w:val="004C045B"/>
    <w:rsid w:val="004C0B7F"/>
    <w:rsid w:val="004C119D"/>
    <w:rsid w:val="004C1990"/>
    <w:rsid w:val="004C1EC5"/>
    <w:rsid w:val="004C2877"/>
    <w:rsid w:val="004C28E2"/>
    <w:rsid w:val="004C3470"/>
    <w:rsid w:val="004C3CB7"/>
    <w:rsid w:val="004C4134"/>
    <w:rsid w:val="004C4885"/>
    <w:rsid w:val="004C518A"/>
    <w:rsid w:val="004C6035"/>
    <w:rsid w:val="004C6B0D"/>
    <w:rsid w:val="004C6E32"/>
    <w:rsid w:val="004C783B"/>
    <w:rsid w:val="004D05FC"/>
    <w:rsid w:val="004D14EC"/>
    <w:rsid w:val="004D1A9F"/>
    <w:rsid w:val="004D5F74"/>
    <w:rsid w:val="004D6354"/>
    <w:rsid w:val="004D6AA3"/>
    <w:rsid w:val="004E0024"/>
    <w:rsid w:val="004E00BB"/>
    <w:rsid w:val="004E0548"/>
    <w:rsid w:val="004E0DDD"/>
    <w:rsid w:val="004E512E"/>
    <w:rsid w:val="004E7690"/>
    <w:rsid w:val="004E7F9D"/>
    <w:rsid w:val="004F1B2B"/>
    <w:rsid w:val="004F2AD7"/>
    <w:rsid w:val="004F33BD"/>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2F4"/>
    <w:rsid w:val="0052332B"/>
    <w:rsid w:val="00525275"/>
    <w:rsid w:val="00525D9B"/>
    <w:rsid w:val="005265BF"/>
    <w:rsid w:val="00526760"/>
    <w:rsid w:val="00526F7C"/>
    <w:rsid w:val="00526F8C"/>
    <w:rsid w:val="00527DB7"/>
    <w:rsid w:val="00530042"/>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24D6"/>
    <w:rsid w:val="0058265F"/>
    <w:rsid w:val="00582EC2"/>
    <w:rsid w:val="00583175"/>
    <w:rsid w:val="0058454A"/>
    <w:rsid w:val="0058548F"/>
    <w:rsid w:val="00590A0A"/>
    <w:rsid w:val="00592497"/>
    <w:rsid w:val="005924C0"/>
    <w:rsid w:val="005929B8"/>
    <w:rsid w:val="00592AD6"/>
    <w:rsid w:val="00593443"/>
    <w:rsid w:val="00594C68"/>
    <w:rsid w:val="005952DA"/>
    <w:rsid w:val="00595CFB"/>
    <w:rsid w:val="00596B33"/>
    <w:rsid w:val="005A0379"/>
    <w:rsid w:val="005A066C"/>
    <w:rsid w:val="005A155A"/>
    <w:rsid w:val="005A1E11"/>
    <w:rsid w:val="005A3528"/>
    <w:rsid w:val="005A4358"/>
    <w:rsid w:val="005A4E22"/>
    <w:rsid w:val="005A5115"/>
    <w:rsid w:val="005A6E61"/>
    <w:rsid w:val="005A73B9"/>
    <w:rsid w:val="005A76F6"/>
    <w:rsid w:val="005A7E44"/>
    <w:rsid w:val="005B08A1"/>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319C"/>
    <w:rsid w:val="005E4541"/>
    <w:rsid w:val="005E46DC"/>
    <w:rsid w:val="005E4C38"/>
    <w:rsid w:val="005E4E11"/>
    <w:rsid w:val="005E5061"/>
    <w:rsid w:val="005E5E8D"/>
    <w:rsid w:val="005E7A3E"/>
    <w:rsid w:val="005E7F57"/>
    <w:rsid w:val="005F01C9"/>
    <w:rsid w:val="005F0DB3"/>
    <w:rsid w:val="005F1E33"/>
    <w:rsid w:val="005F24E3"/>
    <w:rsid w:val="005F48D6"/>
    <w:rsid w:val="005F4BD1"/>
    <w:rsid w:val="005F5476"/>
    <w:rsid w:val="005F6314"/>
    <w:rsid w:val="005F6F11"/>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ED1"/>
    <w:rsid w:val="0061455B"/>
    <w:rsid w:val="00614B88"/>
    <w:rsid w:val="006152D8"/>
    <w:rsid w:val="00615874"/>
    <w:rsid w:val="006174BF"/>
    <w:rsid w:val="00620400"/>
    <w:rsid w:val="00620705"/>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383F"/>
    <w:rsid w:val="00634E3C"/>
    <w:rsid w:val="00635142"/>
    <w:rsid w:val="006359E0"/>
    <w:rsid w:val="00637F28"/>
    <w:rsid w:val="00641D0A"/>
    <w:rsid w:val="0064216A"/>
    <w:rsid w:val="00642429"/>
    <w:rsid w:val="00645817"/>
    <w:rsid w:val="00647170"/>
    <w:rsid w:val="00647616"/>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5A25"/>
    <w:rsid w:val="00666DCA"/>
    <w:rsid w:val="006670FE"/>
    <w:rsid w:val="0066762F"/>
    <w:rsid w:val="00667F67"/>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F44"/>
    <w:rsid w:val="00686B0E"/>
    <w:rsid w:val="00686FC1"/>
    <w:rsid w:val="00687EDC"/>
    <w:rsid w:val="00691128"/>
    <w:rsid w:val="00692698"/>
    <w:rsid w:val="00692DC9"/>
    <w:rsid w:val="00693C62"/>
    <w:rsid w:val="00693C7B"/>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3D25"/>
    <w:rsid w:val="006D469A"/>
    <w:rsid w:val="006D54D3"/>
    <w:rsid w:val="006D690E"/>
    <w:rsid w:val="006E0D28"/>
    <w:rsid w:val="006E1AFE"/>
    <w:rsid w:val="006E2527"/>
    <w:rsid w:val="006E31E7"/>
    <w:rsid w:val="006E3B4F"/>
    <w:rsid w:val="006E406B"/>
    <w:rsid w:val="006E52D5"/>
    <w:rsid w:val="006E53B8"/>
    <w:rsid w:val="006E56C8"/>
    <w:rsid w:val="006E5A47"/>
    <w:rsid w:val="006E6457"/>
    <w:rsid w:val="006E657B"/>
    <w:rsid w:val="006E7535"/>
    <w:rsid w:val="006E7968"/>
    <w:rsid w:val="006F0D7D"/>
    <w:rsid w:val="006F17A2"/>
    <w:rsid w:val="006F1F29"/>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1304"/>
    <w:rsid w:val="00742600"/>
    <w:rsid w:val="00742892"/>
    <w:rsid w:val="00743B10"/>
    <w:rsid w:val="00744FB7"/>
    <w:rsid w:val="0074577C"/>
    <w:rsid w:val="007457DE"/>
    <w:rsid w:val="00745A2C"/>
    <w:rsid w:val="00745B88"/>
    <w:rsid w:val="00747D97"/>
    <w:rsid w:val="00747E17"/>
    <w:rsid w:val="00750B42"/>
    <w:rsid w:val="00750E8D"/>
    <w:rsid w:val="00751525"/>
    <w:rsid w:val="00751896"/>
    <w:rsid w:val="00753A6A"/>
    <w:rsid w:val="00753CCD"/>
    <w:rsid w:val="0075462A"/>
    <w:rsid w:val="00754E33"/>
    <w:rsid w:val="007567F3"/>
    <w:rsid w:val="007569D8"/>
    <w:rsid w:val="0075778D"/>
    <w:rsid w:val="0075793C"/>
    <w:rsid w:val="00757FF3"/>
    <w:rsid w:val="00760E98"/>
    <w:rsid w:val="00760F73"/>
    <w:rsid w:val="00762021"/>
    <w:rsid w:val="00762580"/>
    <w:rsid w:val="0076328C"/>
    <w:rsid w:val="0076370A"/>
    <w:rsid w:val="00763E79"/>
    <w:rsid w:val="00765E35"/>
    <w:rsid w:val="00766EAF"/>
    <w:rsid w:val="00767632"/>
    <w:rsid w:val="00767A53"/>
    <w:rsid w:val="00770813"/>
    <w:rsid w:val="00770C14"/>
    <w:rsid w:val="00773D8D"/>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3704"/>
    <w:rsid w:val="00783C64"/>
    <w:rsid w:val="0078449A"/>
    <w:rsid w:val="00784FD2"/>
    <w:rsid w:val="00786DB4"/>
    <w:rsid w:val="007875A6"/>
    <w:rsid w:val="00787782"/>
    <w:rsid w:val="00792493"/>
    <w:rsid w:val="007936AB"/>
    <w:rsid w:val="007948D4"/>
    <w:rsid w:val="00795DBD"/>
    <w:rsid w:val="00796251"/>
    <w:rsid w:val="007963EC"/>
    <w:rsid w:val="00796AA8"/>
    <w:rsid w:val="007973D3"/>
    <w:rsid w:val="007A0820"/>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5F2F"/>
    <w:rsid w:val="007C758F"/>
    <w:rsid w:val="007C7B34"/>
    <w:rsid w:val="007D005C"/>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C8C"/>
    <w:rsid w:val="00832BEC"/>
    <w:rsid w:val="00833E58"/>
    <w:rsid w:val="00834780"/>
    <w:rsid w:val="0083536B"/>
    <w:rsid w:val="00835E75"/>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999"/>
    <w:rsid w:val="008B4923"/>
    <w:rsid w:val="008B6462"/>
    <w:rsid w:val="008B74E5"/>
    <w:rsid w:val="008B77B1"/>
    <w:rsid w:val="008B7ACD"/>
    <w:rsid w:val="008C139B"/>
    <w:rsid w:val="008C1658"/>
    <w:rsid w:val="008C1DDE"/>
    <w:rsid w:val="008C229C"/>
    <w:rsid w:val="008C2CAB"/>
    <w:rsid w:val="008C4605"/>
    <w:rsid w:val="008C46DC"/>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F39"/>
    <w:rsid w:val="00900956"/>
    <w:rsid w:val="00901FFB"/>
    <w:rsid w:val="00902590"/>
    <w:rsid w:val="00902CF5"/>
    <w:rsid w:val="00902E9A"/>
    <w:rsid w:val="0090337F"/>
    <w:rsid w:val="00903C57"/>
    <w:rsid w:val="0090562E"/>
    <w:rsid w:val="00905C53"/>
    <w:rsid w:val="009060E1"/>
    <w:rsid w:val="00906D5E"/>
    <w:rsid w:val="00906EE5"/>
    <w:rsid w:val="00907ED0"/>
    <w:rsid w:val="00913284"/>
    <w:rsid w:val="009132F2"/>
    <w:rsid w:val="00913E0F"/>
    <w:rsid w:val="00914AF2"/>
    <w:rsid w:val="00914DF3"/>
    <w:rsid w:val="00916CCD"/>
    <w:rsid w:val="009173C8"/>
    <w:rsid w:val="00920230"/>
    <w:rsid w:val="00920E46"/>
    <w:rsid w:val="0092151A"/>
    <w:rsid w:val="009215D0"/>
    <w:rsid w:val="009226A0"/>
    <w:rsid w:val="00923519"/>
    <w:rsid w:val="00924558"/>
    <w:rsid w:val="0092463A"/>
    <w:rsid w:val="00925382"/>
    <w:rsid w:val="00926235"/>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80249"/>
    <w:rsid w:val="0098087A"/>
    <w:rsid w:val="00980C77"/>
    <w:rsid w:val="00982D08"/>
    <w:rsid w:val="00982D3A"/>
    <w:rsid w:val="00982E44"/>
    <w:rsid w:val="00983051"/>
    <w:rsid w:val="0098368E"/>
    <w:rsid w:val="0098667D"/>
    <w:rsid w:val="00986B23"/>
    <w:rsid w:val="00986C77"/>
    <w:rsid w:val="00987FB4"/>
    <w:rsid w:val="00990E46"/>
    <w:rsid w:val="009928F3"/>
    <w:rsid w:val="009931D6"/>
    <w:rsid w:val="0099480F"/>
    <w:rsid w:val="00994C3F"/>
    <w:rsid w:val="00994CE4"/>
    <w:rsid w:val="00996067"/>
    <w:rsid w:val="009967EB"/>
    <w:rsid w:val="00996C9F"/>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CDA"/>
    <w:rsid w:val="009F41ED"/>
    <w:rsid w:val="009F5DAF"/>
    <w:rsid w:val="009F6E9E"/>
    <w:rsid w:val="00A01D23"/>
    <w:rsid w:val="00A02C0C"/>
    <w:rsid w:val="00A03FCF"/>
    <w:rsid w:val="00A0463D"/>
    <w:rsid w:val="00A04670"/>
    <w:rsid w:val="00A047ED"/>
    <w:rsid w:val="00A053CA"/>
    <w:rsid w:val="00A055E3"/>
    <w:rsid w:val="00A06FC6"/>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905"/>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E90"/>
    <w:rsid w:val="00A55DD3"/>
    <w:rsid w:val="00A562E1"/>
    <w:rsid w:val="00A56750"/>
    <w:rsid w:val="00A57157"/>
    <w:rsid w:val="00A57402"/>
    <w:rsid w:val="00A57C76"/>
    <w:rsid w:val="00A57F04"/>
    <w:rsid w:val="00A614C1"/>
    <w:rsid w:val="00A61CBC"/>
    <w:rsid w:val="00A62B96"/>
    <w:rsid w:val="00A630ED"/>
    <w:rsid w:val="00A64E6B"/>
    <w:rsid w:val="00A70AC6"/>
    <w:rsid w:val="00A70BC4"/>
    <w:rsid w:val="00A7137F"/>
    <w:rsid w:val="00A713EF"/>
    <w:rsid w:val="00A71AEF"/>
    <w:rsid w:val="00A71F07"/>
    <w:rsid w:val="00A725FB"/>
    <w:rsid w:val="00A7316A"/>
    <w:rsid w:val="00A74C0E"/>
    <w:rsid w:val="00A74D84"/>
    <w:rsid w:val="00A75179"/>
    <w:rsid w:val="00A75277"/>
    <w:rsid w:val="00A768F6"/>
    <w:rsid w:val="00A76C49"/>
    <w:rsid w:val="00A77E91"/>
    <w:rsid w:val="00A800A4"/>
    <w:rsid w:val="00A803FE"/>
    <w:rsid w:val="00A80599"/>
    <w:rsid w:val="00A80782"/>
    <w:rsid w:val="00A81AF2"/>
    <w:rsid w:val="00A8277B"/>
    <w:rsid w:val="00A82E4F"/>
    <w:rsid w:val="00A8316A"/>
    <w:rsid w:val="00A838D7"/>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5544"/>
    <w:rsid w:val="00AA55C9"/>
    <w:rsid w:val="00AA5FF6"/>
    <w:rsid w:val="00AB01AF"/>
    <w:rsid w:val="00AB0448"/>
    <w:rsid w:val="00AB0DE4"/>
    <w:rsid w:val="00AB2494"/>
    <w:rsid w:val="00AB257C"/>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736"/>
    <w:rsid w:val="00AE328E"/>
    <w:rsid w:val="00AE4D4C"/>
    <w:rsid w:val="00AF0062"/>
    <w:rsid w:val="00AF03F7"/>
    <w:rsid w:val="00AF06F3"/>
    <w:rsid w:val="00AF1037"/>
    <w:rsid w:val="00AF1049"/>
    <w:rsid w:val="00AF10C4"/>
    <w:rsid w:val="00AF2ECE"/>
    <w:rsid w:val="00AF2F47"/>
    <w:rsid w:val="00AF3218"/>
    <w:rsid w:val="00AF40C7"/>
    <w:rsid w:val="00AF4313"/>
    <w:rsid w:val="00AF4F82"/>
    <w:rsid w:val="00AF637F"/>
    <w:rsid w:val="00AF7024"/>
    <w:rsid w:val="00AF7B4D"/>
    <w:rsid w:val="00AF7EC1"/>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7077"/>
    <w:rsid w:val="00B47E0F"/>
    <w:rsid w:val="00B509F0"/>
    <w:rsid w:val="00B60A07"/>
    <w:rsid w:val="00B61937"/>
    <w:rsid w:val="00B61A54"/>
    <w:rsid w:val="00B650F0"/>
    <w:rsid w:val="00B6573F"/>
    <w:rsid w:val="00B668CE"/>
    <w:rsid w:val="00B67112"/>
    <w:rsid w:val="00B67525"/>
    <w:rsid w:val="00B67610"/>
    <w:rsid w:val="00B67AEF"/>
    <w:rsid w:val="00B7203C"/>
    <w:rsid w:val="00B72C67"/>
    <w:rsid w:val="00B74CA9"/>
    <w:rsid w:val="00B75F6F"/>
    <w:rsid w:val="00B77146"/>
    <w:rsid w:val="00B77935"/>
    <w:rsid w:val="00B77D85"/>
    <w:rsid w:val="00B80362"/>
    <w:rsid w:val="00B80D06"/>
    <w:rsid w:val="00B8113D"/>
    <w:rsid w:val="00B815E3"/>
    <w:rsid w:val="00B818CA"/>
    <w:rsid w:val="00B8194E"/>
    <w:rsid w:val="00B83A17"/>
    <w:rsid w:val="00B83B3C"/>
    <w:rsid w:val="00B843BD"/>
    <w:rsid w:val="00B845DB"/>
    <w:rsid w:val="00B85017"/>
    <w:rsid w:val="00B8534F"/>
    <w:rsid w:val="00B856F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6AB6"/>
    <w:rsid w:val="00BA6CF2"/>
    <w:rsid w:val="00BB2948"/>
    <w:rsid w:val="00BB4798"/>
    <w:rsid w:val="00BB5F51"/>
    <w:rsid w:val="00BB63A1"/>
    <w:rsid w:val="00BC2308"/>
    <w:rsid w:val="00BC3031"/>
    <w:rsid w:val="00BC3941"/>
    <w:rsid w:val="00BC3A69"/>
    <w:rsid w:val="00BC585F"/>
    <w:rsid w:val="00BC5D62"/>
    <w:rsid w:val="00BC725F"/>
    <w:rsid w:val="00BC7B72"/>
    <w:rsid w:val="00BC7E84"/>
    <w:rsid w:val="00BD0121"/>
    <w:rsid w:val="00BD029D"/>
    <w:rsid w:val="00BD199F"/>
    <w:rsid w:val="00BD206F"/>
    <w:rsid w:val="00BD373C"/>
    <w:rsid w:val="00BD4359"/>
    <w:rsid w:val="00BD4A1A"/>
    <w:rsid w:val="00BD5469"/>
    <w:rsid w:val="00BD6373"/>
    <w:rsid w:val="00BD67E3"/>
    <w:rsid w:val="00BE0E17"/>
    <w:rsid w:val="00BE1760"/>
    <w:rsid w:val="00BE258C"/>
    <w:rsid w:val="00BE2727"/>
    <w:rsid w:val="00BE36E4"/>
    <w:rsid w:val="00BE63F2"/>
    <w:rsid w:val="00BE7655"/>
    <w:rsid w:val="00BE774C"/>
    <w:rsid w:val="00BF015F"/>
    <w:rsid w:val="00BF0D63"/>
    <w:rsid w:val="00BF25BE"/>
    <w:rsid w:val="00BF2DF4"/>
    <w:rsid w:val="00BF3390"/>
    <w:rsid w:val="00BF33AF"/>
    <w:rsid w:val="00BF455E"/>
    <w:rsid w:val="00BF557D"/>
    <w:rsid w:val="00BF5C9B"/>
    <w:rsid w:val="00BF5CC4"/>
    <w:rsid w:val="00BF62C6"/>
    <w:rsid w:val="00BF7866"/>
    <w:rsid w:val="00C00852"/>
    <w:rsid w:val="00C015F3"/>
    <w:rsid w:val="00C0199B"/>
    <w:rsid w:val="00C0287B"/>
    <w:rsid w:val="00C03195"/>
    <w:rsid w:val="00C03FEA"/>
    <w:rsid w:val="00C0470A"/>
    <w:rsid w:val="00C047D6"/>
    <w:rsid w:val="00C047F4"/>
    <w:rsid w:val="00C04838"/>
    <w:rsid w:val="00C04A6D"/>
    <w:rsid w:val="00C04BC9"/>
    <w:rsid w:val="00C0521A"/>
    <w:rsid w:val="00C056A7"/>
    <w:rsid w:val="00C05CA7"/>
    <w:rsid w:val="00C06326"/>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616B"/>
    <w:rsid w:val="00C367FA"/>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4CC2"/>
    <w:rsid w:val="00C65343"/>
    <w:rsid w:val="00C66204"/>
    <w:rsid w:val="00C66805"/>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904AD"/>
    <w:rsid w:val="00C90A61"/>
    <w:rsid w:val="00C91731"/>
    <w:rsid w:val="00C91C01"/>
    <w:rsid w:val="00C920BF"/>
    <w:rsid w:val="00C921BC"/>
    <w:rsid w:val="00C93673"/>
    <w:rsid w:val="00C9598B"/>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76DE"/>
    <w:rsid w:val="00CC77A6"/>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12184"/>
    <w:rsid w:val="00D12435"/>
    <w:rsid w:val="00D1267A"/>
    <w:rsid w:val="00D13266"/>
    <w:rsid w:val="00D13B6E"/>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115B"/>
    <w:rsid w:val="00D511B7"/>
    <w:rsid w:val="00D51880"/>
    <w:rsid w:val="00D52FCA"/>
    <w:rsid w:val="00D5331E"/>
    <w:rsid w:val="00D53FDB"/>
    <w:rsid w:val="00D54D3C"/>
    <w:rsid w:val="00D550B9"/>
    <w:rsid w:val="00D5538C"/>
    <w:rsid w:val="00D56016"/>
    <w:rsid w:val="00D56B66"/>
    <w:rsid w:val="00D56BF0"/>
    <w:rsid w:val="00D6061D"/>
    <w:rsid w:val="00D60A46"/>
    <w:rsid w:val="00D6146F"/>
    <w:rsid w:val="00D6199D"/>
    <w:rsid w:val="00D61EBE"/>
    <w:rsid w:val="00D64F0B"/>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E99"/>
    <w:rsid w:val="00DA59D7"/>
    <w:rsid w:val="00DA6274"/>
    <w:rsid w:val="00DB0727"/>
    <w:rsid w:val="00DB0DC9"/>
    <w:rsid w:val="00DB2B62"/>
    <w:rsid w:val="00DB2CD6"/>
    <w:rsid w:val="00DB3384"/>
    <w:rsid w:val="00DB3663"/>
    <w:rsid w:val="00DB4AFC"/>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CBB"/>
    <w:rsid w:val="00E34107"/>
    <w:rsid w:val="00E34586"/>
    <w:rsid w:val="00E348A5"/>
    <w:rsid w:val="00E34C99"/>
    <w:rsid w:val="00E35872"/>
    <w:rsid w:val="00E37FD3"/>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4E"/>
    <w:rsid w:val="00E568A9"/>
    <w:rsid w:val="00E572FA"/>
    <w:rsid w:val="00E57E6E"/>
    <w:rsid w:val="00E57FB9"/>
    <w:rsid w:val="00E65895"/>
    <w:rsid w:val="00E67518"/>
    <w:rsid w:val="00E67560"/>
    <w:rsid w:val="00E6773F"/>
    <w:rsid w:val="00E70C74"/>
    <w:rsid w:val="00E70C94"/>
    <w:rsid w:val="00E70DEA"/>
    <w:rsid w:val="00E71446"/>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6CA0"/>
    <w:rsid w:val="00EB0118"/>
    <w:rsid w:val="00EB1BCD"/>
    <w:rsid w:val="00EB2F8C"/>
    <w:rsid w:val="00EB33F7"/>
    <w:rsid w:val="00EB3607"/>
    <w:rsid w:val="00EB6F94"/>
    <w:rsid w:val="00EC0380"/>
    <w:rsid w:val="00EC0675"/>
    <w:rsid w:val="00EC1898"/>
    <w:rsid w:val="00EC2BAA"/>
    <w:rsid w:val="00EC3722"/>
    <w:rsid w:val="00EC550B"/>
    <w:rsid w:val="00EC7C23"/>
    <w:rsid w:val="00EC7C8D"/>
    <w:rsid w:val="00EC7DC9"/>
    <w:rsid w:val="00ED140D"/>
    <w:rsid w:val="00ED14FC"/>
    <w:rsid w:val="00ED1B3A"/>
    <w:rsid w:val="00ED1BD6"/>
    <w:rsid w:val="00ED2129"/>
    <w:rsid w:val="00ED29C0"/>
    <w:rsid w:val="00ED3103"/>
    <w:rsid w:val="00ED3C2D"/>
    <w:rsid w:val="00ED5C64"/>
    <w:rsid w:val="00ED6828"/>
    <w:rsid w:val="00ED6858"/>
    <w:rsid w:val="00ED7195"/>
    <w:rsid w:val="00ED787B"/>
    <w:rsid w:val="00EE05B4"/>
    <w:rsid w:val="00EE1111"/>
    <w:rsid w:val="00EE34C9"/>
    <w:rsid w:val="00EE3FE5"/>
    <w:rsid w:val="00EE4CC5"/>
    <w:rsid w:val="00EE5ACA"/>
    <w:rsid w:val="00EE69E0"/>
    <w:rsid w:val="00EF0748"/>
    <w:rsid w:val="00EF0A1A"/>
    <w:rsid w:val="00EF1E57"/>
    <w:rsid w:val="00EF28F3"/>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77F7"/>
    <w:rsid w:val="00F2795E"/>
    <w:rsid w:val="00F27C6F"/>
    <w:rsid w:val="00F309F5"/>
    <w:rsid w:val="00F30EA5"/>
    <w:rsid w:val="00F32388"/>
    <w:rsid w:val="00F34658"/>
    <w:rsid w:val="00F3558E"/>
    <w:rsid w:val="00F373A3"/>
    <w:rsid w:val="00F37E20"/>
    <w:rsid w:val="00F405AE"/>
    <w:rsid w:val="00F42766"/>
    <w:rsid w:val="00F439A7"/>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5B6F"/>
    <w:rsid w:val="00F65E0A"/>
    <w:rsid w:val="00F6682D"/>
    <w:rsid w:val="00F66ED1"/>
    <w:rsid w:val="00F66FE4"/>
    <w:rsid w:val="00F7046B"/>
    <w:rsid w:val="00F71D68"/>
    <w:rsid w:val="00F71ED2"/>
    <w:rsid w:val="00F7231B"/>
    <w:rsid w:val="00F74020"/>
    <w:rsid w:val="00F759B4"/>
    <w:rsid w:val="00F764A4"/>
    <w:rsid w:val="00F7696C"/>
    <w:rsid w:val="00F7726E"/>
    <w:rsid w:val="00F8013E"/>
    <w:rsid w:val="00F80E6F"/>
    <w:rsid w:val="00F81168"/>
    <w:rsid w:val="00F823A4"/>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0C52"/>
    <w:rsid w:val="00FA20E0"/>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E16"/>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70EC"/>
    <w:rsid w:val="00FC7272"/>
    <w:rsid w:val="00FC7571"/>
    <w:rsid w:val="00FC7B97"/>
    <w:rsid w:val="00FD2E78"/>
    <w:rsid w:val="00FD319C"/>
    <w:rsid w:val="00FD432A"/>
    <w:rsid w:val="00FD5FCA"/>
    <w:rsid w:val="00FD6F92"/>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15D0"/>
    <w:rsid w:val="00FF1A57"/>
    <w:rsid w:val="00FF1B84"/>
    <w:rsid w:val="00FF23C4"/>
    <w:rsid w:val="00FF268F"/>
    <w:rsid w:val="00FF2910"/>
    <w:rsid w:val="00FF3D10"/>
    <w:rsid w:val="00FF4827"/>
    <w:rsid w:val="00FF4A1F"/>
    <w:rsid w:val="00FF4BF2"/>
    <w:rsid w:val="00FF65AD"/>
    <w:rsid w:val="00FF7E51"/>
    <w:rsid w:val="24D67A68"/>
    <w:rsid w:val="29082BE0"/>
    <w:rsid w:val="3DAE0540"/>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0B7F"/>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4C0B7F"/>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4C0B7F"/>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4C0B7F"/>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4C0B7F"/>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4C0B7F"/>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4C0B7F"/>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4C0B7F"/>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4C0B7F"/>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4C0B7F"/>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B7F"/>
    <w:rPr>
      <w:rFonts w:eastAsia="黑体"/>
      <w:b/>
      <w:bCs/>
      <w:kern w:val="44"/>
      <w:sz w:val="44"/>
      <w:szCs w:val="44"/>
    </w:rPr>
  </w:style>
  <w:style w:type="character" w:customStyle="1" w:styleId="Heading2Char">
    <w:name w:val="Heading 2 Char"/>
    <w:basedOn w:val="DefaultParagraphFont"/>
    <w:link w:val="Heading2"/>
    <w:uiPriority w:val="99"/>
    <w:locked/>
    <w:rsid w:val="004C0B7F"/>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4C0B7F"/>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4C0B7F"/>
    <w:rPr>
      <w:rFonts w:ascii="Arial" w:eastAsia="黑体" w:hAnsi="Arial" w:cs="Arial"/>
      <w:sz w:val="32"/>
      <w:szCs w:val="32"/>
    </w:rPr>
  </w:style>
  <w:style w:type="character" w:customStyle="1" w:styleId="Heading5Char">
    <w:name w:val="Heading 5 Char"/>
    <w:basedOn w:val="DefaultParagraphFont"/>
    <w:link w:val="Heading5"/>
    <w:uiPriority w:val="99"/>
    <w:locked/>
    <w:rsid w:val="004C0B7F"/>
    <w:rPr>
      <w:rFonts w:eastAsia="楷体_GB2312"/>
      <w:b/>
      <w:bCs/>
      <w:sz w:val="30"/>
      <w:szCs w:val="30"/>
    </w:rPr>
  </w:style>
  <w:style w:type="character" w:customStyle="1" w:styleId="Heading6Char">
    <w:name w:val="Heading 6 Char"/>
    <w:basedOn w:val="DefaultParagraphFont"/>
    <w:link w:val="Heading6"/>
    <w:uiPriority w:val="99"/>
    <w:locked/>
    <w:rsid w:val="004C0B7F"/>
    <w:rPr>
      <w:rFonts w:eastAsia="仿宋_GB2312" w:hAnsi="Arial"/>
      <w:sz w:val="30"/>
      <w:szCs w:val="30"/>
    </w:rPr>
  </w:style>
  <w:style w:type="character" w:customStyle="1" w:styleId="Heading7Char">
    <w:name w:val="Heading 7 Char"/>
    <w:basedOn w:val="DefaultParagraphFont"/>
    <w:link w:val="Heading7"/>
    <w:uiPriority w:val="99"/>
    <w:locked/>
    <w:rsid w:val="004C0B7F"/>
    <w:rPr>
      <w:rFonts w:eastAsia="仿宋_GB2312"/>
      <w:sz w:val="30"/>
      <w:szCs w:val="30"/>
    </w:rPr>
  </w:style>
  <w:style w:type="character" w:customStyle="1" w:styleId="Heading8Char">
    <w:name w:val="Heading 8 Char"/>
    <w:basedOn w:val="DefaultParagraphFont"/>
    <w:link w:val="Heading8"/>
    <w:uiPriority w:val="99"/>
    <w:locked/>
    <w:rsid w:val="004C0B7F"/>
    <w:rPr>
      <w:rFonts w:eastAsia="仿宋_GB2312" w:hAnsi="Arial"/>
      <w:sz w:val="30"/>
      <w:szCs w:val="30"/>
    </w:rPr>
  </w:style>
  <w:style w:type="character" w:customStyle="1" w:styleId="Heading9Char">
    <w:name w:val="Heading 9 Char"/>
    <w:basedOn w:val="DefaultParagraphFont"/>
    <w:link w:val="Heading9"/>
    <w:uiPriority w:val="99"/>
    <w:locked/>
    <w:rsid w:val="004C0B7F"/>
    <w:rPr>
      <w:rFonts w:eastAsia="仿宋_GB2312"/>
      <w:sz w:val="30"/>
      <w:szCs w:val="30"/>
    </w:rPr>
  </w:style>
  <w:style w:type="paragraph" w:styleId="NormalIndent">
    <w:name w:val="Normal Indent"/>
    <w:basedOn w:val="Normal"/>
    <w:uiPriority w:val="99"/>
    <w:rsid w:val="004C0B7F"/>
    <w:pPr>
      <w:ind w:firstLineChars="200" w:firstLine="420"/>
    </w:pPr>
  </w:style>
  <w:style w:type="paragraph" w:styleId="DocumentMap">
    <w:name w:val="Document Map"/>
    <w:basedOn w:val="Normal"/>
    <w:link w:val="DocumentMapChar"/>
    <w:uiPriority w:val="99"/>
    <w:semiHidden/>
    <w:rsid w:val="004C0B7F"/>
    <w:pPr>
      <w:shd w:val="clear" w:color="auto" w:fill="000080"/>
    </w:pPr>
  </w:style>
  <w:style w:type="character" w:customStyle="1" w:styleId="DocumentMapChar">
    <w:name w:val="Document Map Char"/>
    <w:basedOn w:val="DefaultParagraphFont"/>
    <w:link w:val="DocumentMap"/>
    <w:uiPriority w:val="99"/>
    <w:semiHidden/>
    <w:locked/>
    <w:rsid w:val="004C0B7F"/>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4C0B7F"/>
    <w:pPr>
      <w:spacing w:after="120"/>
    </w:pPr>
  </w:style>
  <w:style w:type="character" w:customStyle="1" w:styleId="BodyTextChar">
    <w:name w:val="Body Text Char"/>
    <w:basedOn w:val="DefaultParagraphFont"/>
    <w:link w:val="BodyText"/>
    <w:uiPriority w:val="99"/>
    <w:locked/>
    <w:rsid w:val="004C0B7F"/>
    <w:rPr>
      <w:kern w:val="2"/>
      <w:sz w:val="21"/>
      <w:szCs w:val="21"/>
    </w:rPr>
  </w:style>
  <w:style w:type="paragraph" w:styleId="BodyTextIndent">
    <w:name w:val="Body Text Indent"/>
    <w:basedOn w:val="Normal"/>
    <w:link w:val="BodyTextIndentChar"/>
    <w:uiPriority w:val="99"/>
    <w:rsid w:val="004C0B7F"/>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4C0B7F"/>
    <w:rPr>
      <w:kern w:val="2"/>
      <w:sz w:val="28"/>
      <w:szCs w:val="28"/>
    </w:rPr>
  </w:style>
  <w:style w:type="paragraph" w:styleId="TOC3">
    <w:name w:val="toc 3"/>
    <w:basedOn w:val="Normal"/>
    <w:next w:val="Normal"/>
    <w:autoRedefine/>
    <w:uiPriority w:val="99"/>
    <w:semiHidden/>
    <w:rsid w:val="004C0B7F"/>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4C0B7F"/>
    <w:rPr>
      <w:rFonts w:ascii="宋体" w:hAnsi="Courier New" w:cs="宋体"/>
    </w:rPr>
  </w:style>
  <w:style w:type="character" w:customStyle="1" w:styleId="PlainTextChar">
    <w:name w:val="Plain Text Char"/>
    <w:basedOn w:val="DefaultParagraphFont"/>
    <w:link w:val="PlainText"/>
    <w:uiPriority w:val="99"/>
    <w:locked/>
    <w:rsid w:val="004C0B7F"/>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4C0B7F"/>
    <w:pPr>
      <w:ind w:leftChars="2500" w:left="100"/>
    </w:pPr>
    <w:rPr>
      <w:rFonts w:ascii="Calibri" w:hAnsi="Calibri" w:cs="Calibri"/>
    </w:rPr>
  </w:style>
  <w:style w:type="character" w:customStyle="1" w:styleId="DateChar">
    <w:name w:val="Date Char"/>
    <w:basedOn w:val="DefaultParagraphFont"/>
    <w:link w:val="Date"/>
    <w:uiPriority w:val="99"/>
    <w:locked/>
    <w:rsid w:val="004C0B7F"/>
    <w:rPr>
      <w:kern w:val="2"/>
      <w:sz w:val="21"/>
      <w:szCs w:val="21"/>
    </w:rPr>
  </w:style>
  <w:style w:type="paragraph" w:styleId="BalloonText">
    <w:name w:val="Balloon Text"/>
    <w:basedOn w:val="Normal"/>
    <w:link w:val="BalloonTextChar"/>
    <w:uiPriority w:val="99"/>
    <w:semiHidden/>
    <w:rsid w:val="004C0B7F"/>
    <w:rPr>
      <w:rFonts w:ascii="Calibri" w:hAnsi="Calibri" w:cs="Calibri"/>
      <w:sz w:val="18"/>
      <w:szCs w:val="18"/>
    </w:rPr>
  </w:style>
  <w:style w:type="character" w:customStyle="1" w:styleId="BalloonTextChar">
    <w:name w:val="Balloon Text Char"/>
    <w:basedOn w:val="DefaultParagraphFont"/>
    <w:link w:val="BalloonText"/>
    <w:uiPriority w:val="99"/>
    <w:locked/>
    <w:rsid w:val="004C0B7F"/>
    <w:rPr>
      <w:kern w:val="2"/>
      <w:sz w:val="18"/>
      <w:szCs w:val="18"/>
    </w:rPr>
  </w:style>
  <w:style w:type="paragraph" w:styleId="Footer">
    <w:name w:val="footer"/>
    <w:basedOn w:val="Normal"/>
    <w:link w:val="FooterChar"/>
    <w:uiPriority w:val="99"/>
    <w:rsid w:val="004C0B7F"/>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4C0B7F"/>
    <w:rPr>
      <w:kern w:val="2"/>
      <w:sz w:val="18"/>
      <w:szCs w:val="18"/>
    </w:rPr>
  </w:style>
  <w:style w:type="paragraph" w:styleId="Header">
    <w:name w:val="header"/>
    <w:basedOn w:val="Normal"/>
    <w:link w:val="HeaderChar"/>
    <w:uiPriority w:val="99"/>
    <w:rsid w:val="004C0B7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4C0B7F"/>
    <w:rPr>
      <w:kern w:val="2"/>
      <w:sz w:val="18"/>
      <w:szCs w:val="18"/>
    </w:rPr>
  </w:style>
  <w:style w:type="paragraph" w:styleId="TOC1">
    <w:name w:val="toc 1"/>
    <w:basedOn w:val="Normal"/>
    <w:next w:val="Normal"/>
    <w:autoRedefine/>
    <w:uiPriority w:val="99"/>
    <w:semiHidden/>
    <w:rsid w:val="004C0B7F"/>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4C0B7F"/>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4C0B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4C0B7F"/>
    <w:rPr>
      <w:rFonts w:ascii="Arial" w:hAnsi="Arial" w:cs="Arial"/>
      <w:sz w:val="24"/>
      <w:szCs w:val="24"/>
    </w:rPr>
  </w:style>
  <w:style w:type="paragraph" w:styleId="NormalWeb">
    <w:name w:val="Normal (Web)"/>
    <w:basedOn w:val="Normal"/>
    <w:uiPriority w:val="99"/>
    <w:rsid w:val="004C0B7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C0B7F"/>
    <w:rPr>
      <w:b/>
      <w:bCs/>
    </w:rPr>
  </w:style>
  <w:style w:type="character" w:styleId="PageNumber">
    <w:name w:val="page number"/>
    <w:basedOn w:val="DefaultParagraphFont"/>
    <w:uiPriority w:val="99"/>
    <w:rsid w:val="004C0B7F"/>
  </w:style>
  <w:style w:type="character" w:styleId="Emphasis">
    <w:name w:val="Emphasis"/>
    <w:basedOn w:val="DefaultParagraphFont"/>
    <w:uiPriority w:val="99"/>
    <w:qFormat/>
    <w:rsid w:val="004C0B7F"/>
    <w:rPr>
      <w:i/>
      <w:iCs/>
    </w:rPr>
  </w:style>
  <w:style w:type="character" w:styleId="Hyperlink">
    <w:name w:val="Hyperlink"/>
    <w:basedOn w:val="DefaultParagraphFont"/>
    <w:uiPriority w:val="99"/>
    <w:rsid w:val="004C0B7F"/>
    <w:rPr>
      <w:color w:val="auto"/>
      <w:u w:val="none"/>
    </w:rPr>
  </w:style>
  <w:style w:type="table" w:styleId="TableGrid">
    <w:name w:val="Table Grid"/>
    <w:basedOn w:val="TableNormal"/>
    <w:uiPriority w:val="99"/>
    <w:rsid w:val="004C0B7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4C0B7F"/>
    <w:pPr>
      <w:widowControl/>
    </w:pPr>
    <w:rPr>
      <w:kern w:val="0"/>
    </w:rPr>
  </w:style>
  <w:style w:type="character" w:customStyle="1" w:styleId="hei141">
    <w:name w:val="hei141"/>
    <w:basedOn w:val="DefaultParagraphFont"/>
    <w:uiPriority w:val="99"/>
    <w:rsid w:val="004C0B7F"/>
    <w:rPr>
      <w:rFonts w:ascii="宋体" w:eastAsia="宋体" w:hAnsi="宋体" w:cs="宋体"/>
      <w:color w:val="000000"/>
      <w:sz w:val="21"/>
      <w:szCs w:val="21"/>
      <w:u w:val="none"/>
    </w:rPr>
  </w:style>
  <w:style w:type="character" w:customStyle="1" w:styleId="gsjj1">
    <w:name w:val="gsjj1"/>
    <w:uiPriority w:val="99"/>
    <w:rsid w:val="004C0B7F"/>
    <w:rPr>
      <w:sz w:val="21"/>
      <w:szCs w:val="21"/>
    </w:rPr>
  </w:style>
  <w:style w:type="character" w:customStyle="1" w:styleId="apple-style-span">
    <w:name w:val="apple-style-span"/>
    <w:basedOn w:val="DefaultParagraphFont"/>
    <w:uiPriority w:val="99"/>
    <w:rsid w:val="004C0B7F"/>
  </w:style>
  <w:style w:type="paragraph" w:customStyle="1" w:styleId="ParaCharCharCharCharCharCharChar">
    <w:name w:val="默认段落字体 Para Char Char Char Char Char Char Char"/>
    <w:basedOn w:val="Normal"/>
    <w:uiPriority w:val="99"/>
    <w:rsid w:val="004C0B7F"/>
    <w:pPr>
      <w:spacing w:line="360" w:lineRule="auto"/>
    </w:pPr>
    <w:rPr>
      <w:sz w:val="24"/>
      <w:szCs w:val="24"/>
    </w:rPr>
  </w:style>
  <w:style w:type="character" w:customStyle="1" w:styleId="acool1">
    <w:name w:val="acool1"/>
    <w:basedOn w:val="DefaultParagraphFont"/>
    <w:uiPriority w:val="99"/>
    <w:rsid w:val="004C0B7F"/>
    <w:rPr>
      <w:b/>
      <w:bCs/>
      <w:color w:val="auto"/>
      <w:sz w:val="40"/>
      <w:szCs w:val="40"/>
    </w:rPr>
  </w:style>
  <w:style w:type="character" w:customStyle="1" w:styleId="competitioncontent1">
    <w:name w:val="competitioncontent1"/>
    <w:basedOn w:val="DefaultParagraphFont"/>
    <w:uiPriority w:val="99"/>
    <w:rsid w:val="004C0B7F"/>
    <w:rPr>
      <w:sz w:val="18"/>
      <w:szCs w:val="18"/>
    </w:rPr>
  </w:style>
  <w:style w:type="paragraph" w:customStyle="1" w:styleId="Char2">
    <w:name w:val="Char2"/>
    <w:basedOn w:val="Normal"/>
    <w:uiPriority w:val="99"/>
    <w:rsid w:val="004C0B7F"/>
    <w:rPr>
      <w:rFonts w:ascii="宋体" w:hAnsi="宋体" w:cs="宋体"/>
      <w:sz w:val="32"/>
      <w:szCs w:val="32"/>
    </w:rPr>
  </w:style>
  <w:style w:type="character" w:customStyle="1" w:styleId="content4">
    <w:name w:val="content4"/>
    <w:basedOn w:val="DefaultParagraphFont"/>
    <w:uiPriority w:val="99"/>
    <w:rsid w:val="004C0B7F"/>
  </w:style>
  <w:style w:type="paragraph" w:customStyle="1" w:styleId="aa">
    <w:name w:val="aa"/>
    <w:basedOn w:val="Normal"/>
    <w:uiPriority w:val="99"/>
    <w:rsid w:val="004C0B7F"/>
    <w:pPr>
      <w:widowControl/>
      <w:jc w:val="left"/>
    </w:pPr>
    <w:rPr>
      <w:rFonts w:ascii="宋体" w:hAnsi="宋体" w:cs="宋体"/>
      <w:kern w:val="0"/>
      <w:sz w:val="24"/>
      <w:szCs w:val="24"/>
    </w:rPr>
  </w:style>
  <w:style w:type="paragraph" w:customStyle="1" w:styleId="bb">
    <w:name w:val="bb"/>
    <w:basedOn w:val="Normal"/>
    <w:uiPriority w:val="99"/>
    <w:rsid w:val="004C0B7F"/>
    <w:pPr>
      <w:widowControl/>
      <w:jc w:val="left"/>
    </w:pPr>
    <w:rPr>
      <w:rFonts w:ascii="宋体" w:hAnsi="宋体" w:cs="宋体"/>
      <w:kern w:val="0"/>
      <w:sz w:val="24"/>
      <w:szCs w:val="24"/>
    </w:rPr>
  </w:style>
  <w:style w:type="paragraph" w:customStyle="1" w:styleId="Char">
    <w:name w:val="Char"/>
    <w:basedOn w:val="Normal"/>
    <w:uiPriority w:val="99"/>
    <w:rsid w:val="004C0B7F"/>
    <w:rPr>
      <w:rFonts w:ascii="Tahoma" w:hAnsi="Tahoma" w:cs="Tahoma"/>
      <w:sz w:val="24"/>
      <w:szCs w:val="24"/>
    </w:rPr>
  </w:style>
  <w:style w:type="character" w:customStyle="1" w:styleId="style61">
    <w:name w:val="style61"/>
    <w:basedOn w:val="DefaultParagraphFont"/>
    <w:uiPriority w:val="99"/>
    <w:rsid w:val="004C0B7F"/>
    <w:rPr>
      <w:b/>
      <w:bCs/>
      <w:sz w:val="27"/>
      <w:szCs w:val="27"/>
    </w:rPr>
  </w:style>
  <w:style w:type="paragraph" w:customStyle="1" w:styleId="Char21">
    <w:name w:val="Char21"/>
    <w:basedOn w:val="Normal"/>
    <w:uiPriority w:val="99"/>
    <w:rsid w:val="004C0B7F"/>
    <w:rPr>
      <w:rFonts w:ascii="Tahoma" w:hAnsi="Tahoma" w:cs="Tahoma"/>
      <w:sz w:val="24"/>
      <w:szCs w:val="24"/>
    </w:rPr>
  </w:style>
  <w:style w:type="paragraph" w:customStyle="1" w:styleId="Char1">
    <w:name w:val="Char1"/>
    <w:basedOn w:val="Normal"/>
    <w:uiPriority w:val="99"/>
    <w:rsid w:val="004C0B7F"/>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4C0B7F"/>
    <w:rPr>
      <w:sz w:val="21"/>
      <w:szCs w:val="21"/>
    </w:rPr>
  </w:style>
  <w:style w:type="character" w:customStyle="1" w:styleId="line-h301">
    <w:name w:val="line-h301"/>
    <w:basedOn w:val="DefaultParagraphFont"/>
    <w:uiPriority w:val="99"/>
    <w:rsid w:val="004C0B7F"/>
  </w:style>
  <w:style w:type="paragraph" w:customStyle="1" w:styleId="Char11">
    <w:name w:val="Char11"/>
    <w:basedOn w:val="Normal"/>
    <w:uiPriority w:val="99"/>
    <w:rsid w:val="004C0B7F"/>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4C0B7F"/>
    <w:rPr>
      <w:rFonts w:ascii="宋体" w:hAnsi="宋体" w:cs="宋体"/>
      <w:sz w:val="32"/>
      <w:szCs w:val="32"/>
    </w:rPr>
  </w:style>
  <w:style w:type="character" w:customStyle="1" w:styleId="normal1051">
    <w:name w:val="normal1051"/>
    <w:basedOn w:val="DefaultParagraphFont"/>
    <w:uiPriority w:val="99"/>
    <w:rsid w:val="004C0B7F"/>
  </w:style>
  <w:style w:type="paragraph" w:customStyle="1" w:styleId="Char4">
    <w:name w:val="Char4"/>
    <w:basedOn w:val="Normal"/>
    <w:uiPriority w:val="99"/>
    <w:rsid w:val="004C0B7F"/>
    <w:pPr>
      <w:tabs>
        <w:tab w:val="left" w:pos="360"/>
      </w:tabs>
    </w:pPr>
    <w:rPr>
      <w:sz w:val="24"/>
      <w:szCs w:val="24"/>
    </w:rPr>
  </w:style>
  <w:style w:type="paragraph" w:customStyle="1" w:styleId="a">
    <w:name w:val="协会正文"/>
    <w:basedOn w:val="Normal"/>
    <w:uiPriority w:val="99"/>
    <w:rsid w:val="004C0B7F"/>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4C0B7F"/>
  </w:style>
  <w:style w:type="paragraph" w:customStyle="1" w:styleId="Char3">
    <w:name w:val="Char3"/>
    <w:basedOn w:val="Normal"/>
    <w:uiPriority w:val="99"/>
    <w:rsid w:val="004C0B7F"/>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4C0B7F"/>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4C0B7F"/>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4C0B7F"/>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4C0B7F"/>
    <w:pPr>
      <w:ind w:firstLineChars="200" w:firstLine="420"/>
    </w:pPr>
  </w:style>
  <w:style w:type="paragraph" w:customStyle="1" w:styleId="11">
    <w:name w:val="列出段落11"/>
    <w:basedOn w:val="Normal"/>
    <w:uiPriority w:val="99"/>
    <w:rsid w:val="004C0B7F"/>
    <w:pPr>
      <w:ind w:firstLineChars="200" w:firstLine="420"/>
    </w:pPr>
    <w:rPr>
      <w:rFonts w:ascii="Calibri" w:hAnsi="Calibri" w:cs="Calibri"/>
    </w:rPr>
  </w:style>
  <w:style w:type="character" w:customStyle="1" w:styleId="bb1">
    <w:name w:val="bb1"/>
    <w:uiPriority w:val="99"/>
    <w:rsid w:val="004C0B7F"/>
    <w:rPr>
      <w:rFonts w:ascii="宋体" w:eastAsia="宋体" w:hAnsi="宋体" w:cs="宋体"/>
      <w:b/>
      <w:bCs/>
      <w:color w:val="auto"/>
      <w:sz w:val="21"/>
      <w:szCs w:val="21"/>
    </w:rPr>
  </w:style>
  <w:style w:type="paragraph" w:customStyle="1" w:styleId="2">
    <w:name w:val="列出段落2"/>
    <w:basedOn w:val="Normal"/>
    <w:uiPriority w:val="99"/>
    <w:rsid w:val="004C0B7F"/>
    <w:pPr>
      <w:ind w:firstLineChars="200" w:firstLine="420"/>
    </w:pPr>
  </w:style>
  <w:style w:type="table" w:customStyle="1" w:styleId="TableNormal1">
    <w:name w:val="Table Normal1"/>
    <w:uiPriority w:val="99"/>
    <w:rsid w:val="004C0B7F"/>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4C0B7F"/>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4C0B7F"/>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4C0B7F"/>
    <w:pPr>
      <w:ind w:firstLineChars="200" w:firstLine="420"/>
    </w:pPr>
  </w:style>
  <w:style w:type="paragraph" w:customStyle="1" w:styleId="CharCharCharChar2">
    <w:name w:val="Char Char Char Char2"/>
    <w:basedOn w:val="Normal"/>
    <w:next w:val="Normal"/>
    <w:uiPriority w:val="99"/>
    <w:rsid w:val="004C0B7F"/>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4C0B7F"/>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4C0B7F"/>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135372946">
      <w:marLeft w:val="0"/>
      <w:marRight w:val="0"/>
      <w:marTop w:val="0"/>
      <w:marBottom w:val="0"/>
      <w:divBdr>
        <w:top w:val="none" w:sz="0" w:space="0" w:color="auto"/>
        <w:left w:val="none" w:sz="0" w:space="0" w:color="auto"/>
        <w:bottom w:val="none" w:sz="0" w:space="0" w:color="auto"/>
        <w:right w:val="none" w:sz="0" w:space="0" w:color="auto"/>
      </w:divBdr>
    </w:div>
    <w:div w:id="1135372947">
      <w:marLeft w:val="0"/>
      <w:marRight w:val="0"/>
      <w:marTop w:val="0"/>
      <w:marBottom w:val="0"/>
      <w:divBdr>
        <w:top w:val="none" w:sz="0" w:space="0" w:color="auto"/>
        <w:left w:val="none" w:sz="0" w:space="0" w:color="auto"/>
        <w:bottom w:val="none" w:sz="0" w:space="0" w:color="auto"/>
        <w:right w:val="none" w:sz="0" w:space="0" w:color="auto"/>
      </w:divBdr>
    </w:div>
    <w:div w:id="1135372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18</Pages>
  <Words>2038</Words>
  <Characters>11622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862</cp:revision>
  <cp:lastPrinted>2019-10-08T01:40:00Z</cp:lastPrinted>
  <dcterms:created xsi:type="dcterms:W3CDTF">2015-02-28T00:43:00Z</dcterms:created>
  <dcterms:modified xsi:type="dcterms:W3CDTF">2020-05-08T00:53:00Z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