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044A" w:rsidRDefault="00813FD2">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Pr>
          <w:rFonts w:ascii="仿宋_GB2312" w:eastAsia="仿宋_GB2312" w:hAnsi="宋体" w:hint="eastAsia"/>
          <w:color w:val="000000"/>
          <w:sz w:val="28"/>
        </w:rPr>
        <w:t>2017</w:t>
      </w:r>
      <w:r>
        <w:rPr>
          <w:rFonts w:ascii="仿宋_GB2312" w:eastAsia="仿宋_GB2312" w:hAnsi="宋体" w:hint="eastAsia"/>
          <w:b/>
          <w:color w:val="000000"/>
          <w:sz w:val="28"/>
        </w:rPr>
        <w:t>】</w:t>
      </w:r>
      <w:r>
        <w:rPr>
          <w:rFonts w:ascii="仿宋_GB2312" w:eastAsia="仿宋_GB2312" w:hAnsi="宋体" w:hint="eastAsia"/>
          <w:color w:val="000000"/>
          <w:sz w:val="28"/>
        </w:rPr>
        <w:t>第</w:t>
      </w:r>
      <w:r w:rsidR="00764BF2">
        <w:rPr>
          <w:rFonts w:ascii="仿宋_GB2312" w:eastAsia="仿宋_GB2312" w:hAnsi="宋体" w:hint="eastAsia"/>
          <w:color w:val="000000"/>
          <w:sz w:val="28"/>
        </w:rPr>
        <w:t>七</w:t>
      </w:r>
      <w:r>
        <w:rPr>
          <w:rFonts w:ascii="仿宋_GB2312" w:eastAsia="仿宋_GB2312" w:hAnsi="宋体" w:hint="eastAsia"/>
          <w:color w:val="000000"/>
          <w:sz w:val="28"/>
        </w:rPr>
        <w:t>期</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color w:val="000000"/>
          <w:sz w:val="28"/>
        </w:rPr>
        <w:t>总第1</w:t>
      </w:r>
      <w:r w:rsidR="00560E8C">
        <w:rPr>
          <w:rFonts w:ascii="仿宋_GB2312" w:eastAsia="仿宋_GB2312" w:hAnsi="宋体" w:hint="eastAsia"/>
          <w:color w:val="000000"/>
          <w:sz w:val="28"/>
        </w:rPr>
        <w:t>4</w:t>
      </w:r>
      <w:r w:rsidR="00764BF2">
        <w:rPr>
          <w:rFonts w:ascii="仿宋_GB2312" w:eastAsia="仿宋_GB2312" w:hAnsi="宋体" w:hint="eastAsia"/>
          <w:color w:val="000000"/>
          <w:sz w:val="28"/>
        </w:rPr>
        <w:t>2</w:t>
      </w:r>
      <w:r>
        <w:rPr>
          <w:rFonts w:ascii="仿宋_GB2312" w:eastAsia="仿宋_GB2312" w:hAnsi="宋体" w:hint="eastAsia"/>
          <w:color w:val="000000"/>
          <w:sz w:val="28"/>
        </w:rPr>
        <w:t>期</w:t>
      </w:r>
    </w:p>
    <w:p w:rsidR="00FA044A" w:rsidRDefault="00813FD2">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wps:spPr>
                      <wps:txbx>
                        <w:txbxContent>
                          <w:p w:rsidR="00AD6981" w:rsidRDefault="00AD6981">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" filled="f" stroked="f">
                <v:textbox>
                  <w:txbxContent>
                    <w:p w:rsidR="00AD6981" w:rsidRDefault="00AD6981">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Pr>
          <w:rFonts w:ascii="仿宋_GB2312" w:eastAsia="仿宋_GB2312" w:hAnsi="宋体" w:hint="eastAsia"/>
          <w:color w:val="000000"/>
          <w:sz w:val="28"/>
        </w:rPr>
        <w:t xml:space="preserve">   二O一七年</w:t>
      </w:r>
      <w:r w:rsidR="00764BF2">
        <w:rPr>
          <w:rFonts w:ascii="仿宋_GB2312" w:eastAsia="仿宋_GB2312" w:hAnsi="宋体" w:hint="eastAsia"/>
          <w:color w:val="000000"/>
          <w:sz w:val="28"/>
        </w:rPr>
        <w:t>八</w:t>
      </w:r>
      <w:r>
        <w:rPr>
          <w:rFonts w:ascii="仿宋_GB2312" w:eastAsia="仿宋_GB2312" w:hAnsi="宋体" w:hint="eastAsia"/>
          <w:color w:val="000000"/>
          <w:sz w:val="28"/>
        </w:rPr>
        <w:t>月</w:t>
      </w:r>
      <w:r w:rsidR="00ED5BAE">
        <w:rPr>
          <w:rFonts w:ascii="仿宋_GB2312" w:eastAsia="仿宋_GB2312" w:hAnsi="宋体" w:hint="eastAsia"/>
          <w:color w:val="000000"/>
          <w:sz w:val="28"/>
        </w:rPr>
        <w:t>十</w:t>
      </w:r>
      <w:r>
        <w:rPr>
          <w:rFonts w:ascii="仿宋_GB2312" w:eastAsia="仿宋_GB2312" w:hAnsi="宋体" w:hint="eastAsia"/>
          <w:color w:val="000000"/>
          <w:sz w:val="28"/>
        </w:rPr>
        <w:t>日</w:t>
      </w:r>
    </w:p>
    <w:p w:rsidR="00FA044A" w:rsidRDefault="00813FD2">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160020</wp:posOffset>
                </wp:positionV>
                <wp:extent cx="5753100" cy="635"/>
                <wp:effectExtent l="0" t="19050" r="19050" b="565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ln>
                      </wps:spPr>
                      <wps:bodyPr/>
                    </wps:wsp>
                  </a:graphicData>
                </a:graphic>
              </wp:anchor>
            </w:drawing>
          </mc:Choice>
          <mc:Fallback xmlns:wpsCustomData="http://www.wps.cn/officeDocument/2013/wpsCustomData" xmlns:w15="http://schemas.microsoft.com/office/word/2012/wordml">
            <w:pict>
              <v:line id="Line 2" o:spid="_x0000_s1026" o:spt="20" style="position:absolute;left:0pt;margin-left:-17.25pt;margin-top:12.6pt;height:0.05pt;width:453pt;z-index:251657216;mso-width-relative:page;mso-height-relative:page;" filled="f" stroked="t" coordsize="21600,21600" o:gfxdata="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Vcv&#10;rNcAAAAJAQAADwAAAAAAAAABACAAAAAiAAAAZHJzL2Rvd25yZXYueG1sUEsBAhQAFAAAAAgAh07i&#10;QFBpahSxAQAAVAMAAA4AAAAAAAAAAQAgAAAAJgEAAGRycy9lMm9Eb2MueG1sUEsFBgAAAAAGAAYA&#10;WQEAAEkFAAAAAA==&#10;">
                <v:fill on="f" focussize="0,0"/>
                <v:stroke weight="4.5pt" color="#FF0000" joinstyle="round"/>
                <v:imagedata o:title=""/>
                <o:lock v:ext="edit" aspectratio="f"/>
              </v:line>
            </w:pict>
          </mc:Fallback>
        </mc:AlternateContent>
      </w:r>
    </w:p>
    <w:p w:rsidR="00FA044A" w:rsidRDefault="00813FD2">
      <w:pPr>
        <w:pStyle w:val="3"/>
        <w:spacing w:line="520" w:lineRule="exact"/>
      </w:pPr>
      <w:r>
        <w:rPr>
          <w:rFonts w:hint="eastAsia"/>
        </w:rPr>
        <w:t>【协会工作】</w:t>
      </w:r>
    </w:p>
    <w:p w:rsidR="00FA044A" w:rsidRDefault="00FA044A">
      <w:pPr>
        <w:spacing w:line="520" w:lineRule="exact"/>
        <w:jc w:val="center"/>
        <w:rPr>
          <w:rFonts w:ascii="黑体" w:eastAsia="黑体"/>
          <w:b/>
          <w:bCs/>
          <w:sz w:val="32"/>
          <w:szCs w:val="32"/>
        </w:rPr>
      </w:pPr>
    </w:p>
    <w:p w:rsidR="00C34A6B" w:rsidRDefault="00C34A6B" w:rsidP="00C34A6B">
      <w:pPr>
        <w:spacing w:line="520" w:lineRule="exact"/>
        <w:jc w:val="center"/>
        <w:rPr>
          <w:rFonts w:ascii="黑体" w:eastAsia="黑体" w:hAnsi="Calibri"/>
          <w:b/>
          <w:sz w:val="32"/>
          <w:szCs w:val="32"/>
        </w:rPr>
      </w:pPr>
      <w:r w:rsidRPr="00C34A6B">
        <w:rPr>
          <w:rFonts w:ascii="黑体" w:eastAsia="黑体" w:hAnsi="Calibri" w:hint="eastAsia"/>
          <w:b/>
          <w:sz w:val="32"/>
          <w:szCs w:val="32"/>
        </w:rPr>
        <w:t>区建筑联合协会</w:t>
      </w:r>
      <w:r w:rsidR="005C2427" w:rsidRPr="005C2427">
        <w:rPr>
          <w:rFonts w:ascii="黑体" w:eastAsia="黑体" w:hAnsi="Calibri" w:hint="eastAsia"/>
          <w:b/>
          <w:sz w:val="32"/>
          <w:szCs w:val="32"/>
        </w:rPr>
        <w:t>开展送清凉到一线高温慰问活动</w:t>
      </w:r>
    </w:p>
    <w:p w:rsidR="006442C9" w:rsidRDefault="006442C9" w:rsidP="00C34A6B">
      <w:pPr>
        <w:spacing w:line="520" w:lineRule="exact"/>
        <w:ind w:firstLineChars="200" w:firstLine="560"/>
        <w:rPr>
          <w:rFonts w:ascii="仿宋_GB2312" w:eastAsia="仿宋_GB2312" w:hAnsi="Calibri"/>
          <w:sz w:val="28"/>
          <w:szCs w:val="28"/>
        </w:rPr>
      </w:pPr>
    </w:p>
    <w:p w:rsidR="0016442A" w:rsidRDefault="00B45E60" w:rsidP="00C34A6B">
      <w:pPr>
        <w:spacing w:line="520" w:lineRule="exact"/>
        <w:ind w:firstLineChars="200" w:firstLine="560"/>
        <w:rPr>
          <w:rFonts w:ascii="仿宋_GB2312" w:eastAsia="仿宋_GB2312" w:hAnsi="Calibri"/>
          <w:sz w:val="28"/>
          <w:szCs w:val="28"/>
        </w:rPr>
      </w:pPr>
      <w:r w:rsidRPr="00B45E60">
        <w:rPr>
          <w:rFonts w:ascii="仿宋_GB2312" w:eastAsia="仿宋_GB2312" w:hAnsi="Calibri" w:hint="eastAsia"/>
          <w:sz w:val="28"/>
          <w:szCs w:val="28"/>
        </w:rPr>
        <w:t>由于近日来连续高温，区建筑联合协会</w:t>
      </w:r>
      <w:r w:rsidR="001760CD">
        <w:rPr>
          <w:rFonts w:ascii="仿宋_GB2312" w:eastAsia="仿宋_GB2312" w:hAnsi="Calibri" w:hint="eastAsia"/>
          <w:sz w:val="28"/>
          <w:szCs w:val="28"/>
        </w:rPr>
        <w:t>在</w:t>
      </w:r>
      <w:r>
        <w:rPr>
          <w:rFonts w:ascii="仿宋_GB2312" w:eastAsia="仿宋_GB2312" w:hAnsi="Calibri" w:hint="eastAsia"/>
          <w:sz w:val="28"/>
          <w:szCs w:val="28"/>
        </w:rPr>
        <w:t>秘书长朱强</w:t>
      </w:r>
      <w:r w:rsidR="001760CD">
        <w:rPr>
          <w:rFonts w:ascii="仿宋_GB2312" w:eastAsia="仿宋_GB2312" w:hAnsi="Calibri" w:hint="eastAsia"/>
          <w:sz w:val="28"/>
          <w:szCs w:val="28"/>
        </w:rPr>
        <w:t>的带领下</w:t>
      </w:r>
      <w:r>
        <w:rPr>
          <w:rFonts w:ascii="仿宋_GB2312" w:eastAsia="仿宋_GB2312" w:hAnsi="Calibri" w:hint="eastAsia"/>
          <w:sz w:val="28"/>
          <w:szCs w:val="28"/>
        </w:rPr>
        <w:t>和</w:t>
      </w:r>
      <w:r w:rsidRPr="00B45E60">
        <w:rPr>
          <w:rFonts w:ascii="仿宋_GB2312" w:eastAsia="仿宋_GB2312" w:hAnsi="Calibri" w:hint="eastAsia"/>
          <w:sz w:val="28"/>
          <w:szCs w:val="28"/>
        </w:rPr>
        <w:t>秘书处工作人员</w:t>
      </w:r>
      <w:r w:rsidR="001760CD">
        <w:rPr>
          <w:rFonts w:ascii="仿宋_GB2312" w:eastAsia="仿宋_GB2312" w:hAnsi="Calibri" w:hint="eastAsia"/>
          <w:sz w:val="28"/>
          <w:szCs w:val="28"/>
        </w:rPr>
        <w:t>一起</w:t>
      </w:r>
      <w:r w:rsidRPr="00B45E60">
        <w:rPr>
          <w:rFonts w:ascii="仿宋_GB2312" w:eastAsia="仿宋_GB2312" w:hAnsi="Calibri" w:hint="eastAsia"/>
          <w:sz w:val="28"/>
          <w:szCs w:val="28"/>
        </w:rPr>
        <w:t>，</w:t>
      </w:r>
      <w:r w:rsidR="00433D01">
        <w:rPr>
          <w:rFonts w:ascii="仿宋_GB2312" w:eastAsia="仿宋_GB2312" w:hAnsi="Calibri" w:hint="eastAsia"/>
          <w:sz w:val="28"/>
          <w:szCs w:val="28"/>
        </w:rPr>
        <w:t>于7</w:t>
      </w:r>
      <w:r w:rsidR="00433D01" w:rsidRPr="00B45E60">
        <w:rPr>
          <w:rFonts w:ascii="仿宋_GB2312" w:eastAsia="仿宋_GB2312" w:hAnsi="Calibri" w:hint="eastAsia"/>
          <w:sz w:val="28"/>
          <w:szCs w:val="28"/>
        </w:rPr>
        <w:t>月</w:t>
      </w:r>
      <w:r w:rsidR="00433D01">
        <w:rPr>
          <w:rFonts w:ascii="仿宋_GB2312" w:eastAsia="仿宋_GB2312" w:hAnsi="Calibri" w:hint="eastAsia"/>
          <w:sz w:val="28"/>
          <w:szCs w:val="28"/>
        </w:rPr>
        <w:t>21</w:t>
      </w:r>
      <w:r w:rsidR="00433D01" w:rsidRPr="00B45E60">
        <w:rPr>
          <w:rFonts w:ascii="仿宋_GB2312" w:eastAsia="仿宋_GB2312" w:hAnsi="Calibri" w:hint="eastAsia"/>
          <w:sz w:val="28"/>
          <w:szCs w:val="28"/>
        </w:rPr>
        <w:t>日</w:t>
      </w:r>
      <w:r w:rsidR="00433D01">
        <w:rPr>
          <w:rFonts w:ascii="仿宋_GB2312" w:eastAsia="仿宋_GB2312" w:hAnsi="Calibri" w:hint="eastAsia"/>
          <w:sz w:val="28"/>
          <w:szCs w:val="28"/>
        </w:rPr>
        <w:t>和7月28日分两批</w:t>
      </w:r>
      <w:r w:rsidRPr="00B45E60">
        <w:rPr>
          <w:rFonts w:ascii="仿宋_GB2312" w:eastAsia="仿宋_GB2312" w:hAnsi="Calibri" w:hint="eastAsia"/>
          <w:sz w:val="28"/>
          <w:szCs w:val="28"/>
        </w:rPr>
        <w:t>到上海梓达建设工程有限公司</w:t>
      </w:r>
      <w:r w:rsidR="00B22FFC">
        <w:rPr>
          <w:rFonts w:ascii="仿宋_GB2312" w:eastAsia="仿宋_GB2312" w:hAnsi="Calibri" w:hint="eastAsia"/>
          <w:sz w:val="28"/>
          <w:szCs w:val="28"/>
        </w:rPr>
        <w:t>承建的</w:t>
      </w:r>
      <w:r w:rsidR="00B22FFC" w:rsidRPr="00B22FFC">
        <w:rPr>
          <w:rFonts w:ascii="仿宋_GB2312" w:eastAsia="仿宋_GB2312" w:hAnsi="Calibri" w:hint="eastAsia"/>
          <w:sz w:val="28"/>
          <w:szCs w:val="28"/>
        </w:rPr>
        <w:t>上海市西林中学2017年校舍维修项目</w:t>
      </w:r>
      <w:r w:rsidR="00B22FFC">
        <w:rPr>
          <w:rFonts w:ascii="仿宋_GB2312" w:eastAsia="仿宋_GB2312" w:hAnsi="Calibri" w:hint="eastAsia"/>
          <w:sz w:val="28"/>
          <w:szCs w:val="28"/>
        </w:rPr>
        <w:t>工地</w:t>
      </w:r>
      <w:r>
        <w:rPr>
          <w:rFonts w:ascii="仿宋_GB2312" w:eastAsia="仿宋_GB2312" w:hAnsi="Calibri" w:hint="eastAsia"/>
          <w:sz w:val="28"/>
          <w:szCs w:val="28"/>
        </w:rPr>
        <w:t>、</w:t>
      </w:r>
      <w:r w:rsidRPr="00B45E60">
        <w:rPr>
          <w:rFonts w:ascii="仿宋_GB2312" w:eastAsia="仿宋_GB2312" w:hAnsi="Calibri" w:hint="eastAsia"/>
          <w:sz w:val="28"/>
          <w:szCs w:val="28"/>
        </w:rPr>
        <w:t>上海金山市政工程有限公司</w:t>
      </w:r>
      <w:r w:rsidR="00B22FFC">
        <w:rPr>
          <w:rFonts w:ascii="仿宋_GB2312" w:eastAsia="仿宋_GB2312" w:hAnsi="Calibri" w:hint="eastAsia"/>
          <w:sz w:val="28"/>
          <w:szCs w:val="28"/>
        </w:rPr>
        <w:t>承建的</w:t>
      </w:r>
      <w:r w:rsidR="00B22FFC" w:rsidRPr="00B22FFC">
        <w:rPr>
          <w:rFonts w:ascii="仿宋_GB2312" w:eastAsia="仿宋_GB2312" w:hAnsi="Calibri" w:hint="eastAsia"/>
          <w:sz w:val="28"/>
          <w:szCs w:val="28"/>
        </w:rPr>
        <w:t>朱</w:t>
      </w:r>
      <w:proofErr w:type="gramStart"/>
      <w:r w:rsidR="00B22FFC" w:rsidRPr="00B22FFC">
        <w:rPr>
          <w:rFonts w:ascii="仿宋_GB2312" w:eastAsia="仿宋_GB2312" w:hAnsi="Calibri" w:hint="eastAsia"/>
          <w:sz w:val="28"/>
          <w:szCs w:val="28"/>
        </w:rPr>
        <w:t>泾镇</w:t>
      </w:r>
      <w:r w:rsidR="00B22FFC">
        <w:rPr>
          <w:rFonts w:ascii="仿宋_GB2312" w:eastAsia="仿宋_GB2312" w:hAnsi="Calibri" w:hint="eastAsia"/>
          <w:sz w:val="28"/>
          <w:szCs w:val="28"/>
        </w:rPr>
        <w:t>罗星路</w:t>
      </w:r>
      <w:proofErr w:type="gramEnd"/>
      <w:r w:rsidR="00B22FFC" w:rsidRPr="00B22FFC">
        <w:rPr>
          <w:rFonts w:ascii="仿宋_GB2312" w:eastAsia="仿宋_GB2312" w:hAnsi="Calibri" w:hint="eastAsia"/>
          <w:sz w:val="28"/>
          <w:szCs w:val="28"/>
        </w:rPr>
        <w:t>（</w:t>
      </w:r>
      <w:proofErr w:type="gramStart"/>
      <w:r w:rsidR="001760CD">
        <w:rPr>
          <w:rFonts w:ascii="仿宋_GB2312" w:eastAsia="仿宋_GB2312" w:hAnsi="Calibri" w:hint="eastAsia"/>
          <w:sz w:val="28"/>
          <w:szCs w:val="28"/>
        </w:rPr>
        <w:t>亭枫公路</w:t>
      </w:r>
      <w:proofErr w:type="gramEnd"/>
      <w:r w:rsidR="00B22FFC" w:rsidRPr="00B22FFC">
        <w:rPr>
          <w:rFonts w:ascii="仿宋_GB2312" w:eastAsia="仿宋_GB2312" w:hAnsi="Calibri" w:hint="eastAsia"/>
          <w:sz w:val="28"/>
          <w:szCs w:val="28"/>
        </w:rPr>
        <w:t>-</w:t>
      </w:r>
      <w:proofErr w:type="gramStart"/>
      <w:r w:rsidR="00B22FFC">
        <w:rPr>
          <w:rFonts w:ascii="仿宋_GB2312" w:eastAsia="仿宋_GB2312" w:hAnsi="Calibri" w:hint="eastAsia"/>
          <w:sz w:val="28"/>
          <w:szCs w:val="28"/>
        </w:rPr>
        <w:t>临源街</w:t>
      </w:r>
      <w:proofErr w:type="gramEnd"/>
      <w:r w:rsidR="00B22FFC" w:rsidRPr="00B22FFC">
        <w:rPr>
          <w:rFonts w:ascii="仿宋_GB2312" w:eastAsia="仿宋_GB2312" w:hAnsi="Calibri" w:hint="eastAsia"/>
          <w:sz w:val="28"/>
          <w:szCs w:val="28"/>
        </w:rPr>
        <w:t>）道路</w:t>
      </w:r>
      <w:r w:rsidR="001760CD">
        <w:rPr>
          <w:rFonts w:ascii="仿宋_GB2312" w:eastAsia="仿宋_GB2312" w:hAnsi="Calibri" w:hint="eastAsia"/>
          <w:sz w:val="28"/>
          <w:szCs w:val="28"/>
        </w:rPr>
        <w:t>改建</w:t>
      </w:r>
      <w:r w:rsidR="00B22FFC" w:rsidRPr="00B22FFC">
        <w:rPr>
          <w:rFonts w:ascii="仿宋_GB2312" w:eastAsia="仿宋_GB2312" w:hAnsi="Calibri" w:hint="eastAsia"/>
          <w:sz w:val="28"/>
          <w:szCs w:val="28"/>
        </w:rPr>
        <w:t>工程</w:t>
      </w:r>
      <w:r w:rsidR="00B22FFC">
        <w:rPr>
          <w:rFonts w:ascii="仿宋_GB2312" w:eastAsia="仿宋_GB2312" w:hAnsi="Calibri" w:hint="eastAsia"/>
          <w:sz w:val="28"/>
          <w:szCs w:val="28"/>
        </w:rPr>
        <w:t>项目工地</w:t>
      </w:r>
      <w:r w:rsidR="003E1AE1">
        <w:rPr>
          <w:rFonts w:ascii="仿宋_GB2312" w:eastAsia="仿宋_GB2312" w:hAnsi="Calibri" w:hint="eastAsia"/>
          <w:sz w:val="28"/>
          <w:szCs w:val="28"/>
        </w:rPr>
        <w:t>、</w:t>
      </w:r>
      <w:r w:rsidR="005C2427" w:rsidRPr="005C2427">
        <w:rPr>
          <w:rFonts w:ascii="仿宋_GB2312" w:eastAsia="仿宋_GB2312" w:hAnsi="Calibri" w:hint="eastAsia"/>
          <w:sz w:val="28"/>
          <w:szCs w:val="28"/>
        </w:rPr>
        <w:t>上海金岛建设发展有限公司</w:t>
      </w:r>
      <w:r w:rsidR="00B22FFC">
        <w:rPr>
          <w:rFonts w:ascii="仿宋_GB2312" w:eastAsia="仿宋_GB2312" w:hAnsi="Calibri" w:hint="eastAsia"/>
          <w:sz w:val="28"/>
          <w:szCs w:val="28"/>
        </w:rPr>
        <w:t>承建的</w:t>
      </w:r>
      <w:r w:rsidR="000D5D1B" w:rsidRPr="000D5D1B">
        <w:rPr>
          <w:rFonts w:ascii="仿宋_GB2312" w:eastAsia="仿宋_GB2312" w:hAnsi="Calibri" w:hint="eastAsia"/>
          <w:sz w:val="28"/>
          <w:szCs w:val="28"/>
        </w:rPr>
        <w:t>金山区朱</w:t>
      </w:r>
      <w:proofErr w:type="gramStart"/>
      <w:r w:rsidR="000D5D1B" w:rsidRPr="000D5D1B">
        <w:rPr>
          <w:rFonts w:ascii="仿宋_GB2312" w:eastAsia="仿宋_GB2312" w:hAnsi="Calibri" w:hint="eastAsia"/>
          <w:sz w:val="28"/>
          <w:szCs w:val="28"/>
        </w:rPr>
        <w:t>泾</w:t>
      </w:r>
      <w:proofErr w:type="gramEnd"/>
      <w:r w:rsidR="000D5D1B" w:rsidRPr="000D5D1B">
        <w:rPr>
          <w:rFonts w:ascii="仿宋_GB2312" w:eastAsia="仿宋_GB2312" w:hAnsi="Calibri" w:hint="eastAsia"/>
          <w:sz w:val="28"/>
          <w:szCs w:val="28"/>
        </w:rPr>
        <w:t>镇镇区A29-01地块商品房项目</w:t>
      </w:r>
      <w:r w:rsidRPr="00B45E60">
        <w:rPr>
          <w:rFonts w:ascii="仿宋_GB2312" w:eastAsia="仿宋_GB2312" w:hAnsi="Calibri" w:hint="eastAsia"/>
          <w:sz w:val="28"/>
          <w:szCs w:val="28"/>
        </w:rPr>
        <w:t>工地</w:t>
      </w:r>
      <w:r w:rsidR="00433D01">
        <w:rPr>
          <w:rFonts w:ascii="仿宋_GB2312" w:eastAsia="仿宋_GB2312" w:hAnsi="Calibri" w:hint="eastAsia"/>
          <w:sz w:val="28"/>
          <w:szCs w:val="28"/>
        </w:rPr>
        <w:t>、</w:t>
      </w:r>
      <w:r w:rsidR="003E1AE1" w:rsidRPr="003E1AE1">
        <w:rPr>
          <w:rFonts w:ascii="仿宋_GB2312" w:eastAsia="仿宋_GB2312" w:hAnsi="Calibri" w:hint="eastAsia"/>
          <w:sz w:val="28"/>
          <w:szCs w:val="28"/>
        </w:rPr>
        <w:t>上海金山居行建筑工程有限公司</w:t>
      </w:r>
      <w:r w:rsidR="00433D01">
        <w:rPr>
          <w:rFonts w:ascii="仿宋_GB2312" w:eastAsia="仿宋_GB2312" w:hAnsi="Calibri" w:hint="eastAsia"/>
          <w:sz w:val="28"/>
          <w:szCs w:val="28"/>
        </w:rPr>
        <w:t>承建的金山工业区生产厂房</w:t>
      </w:r>
      <w:r w:rsidR="001760CD">
        <w:rPr>
          <w:rFonts w:ascii="仿宋_GB2312" w:eastAsia="仿宋_GB2312" w:hAnsi="Calibri" w:hint="eastAsia"/>
          <w:sz w:val="28"/>
          <w:szCs w:val="28"/>
        </w:rPr>
        <w:t>等项目工地</w:t>
      </w:r>
      <w:r w:rsidRPr="00B45E60">
        <w:rPr>
          <w:rFonts w:ascii="仿宋_GB2312" w:eastAsia="仿宋_GB2312" w:hAnsi="Calibri" w:hint="eastAsia"/>
          <w:sz w:val="28"/>
          <w:szCs w:val="28"/>
        </w:rPr>
        <w:t>，慰问冒酷暑、战高温坚守岗位的建筑工人，为他们送上了</w:t>
      </w:r>
      <w:r w:rsidR="003E1AE1">
        <w:rPr>
          <w:rFonts w:ascii="仿宋_GB2312" w:eastAsia="仿宋_GB2312" w:hAnsi="Calibri" w:hint="eastAsia"/>
          <w:sz w:val="28"/>
          <w:szCs w:val="28"/>
        </w:rPr>
        <w:t>盐</w:t>
      </w:r>
      <w:r>
        <w:rPr>
          <w:rFonts w:ascii="仿宋_GB2312" w:eastAsia="仿宋_GB2312" w:hAnsi="Calibri" w:hint="eastAsia"/>
          <w:sz w:val="28"/>
          <w:szCs w:val="28"/>
        </w:rPr>
        <w:t>汽水</w:t>
      </w:r>
      <w:r w:rsidRPr="00B45E60">
        <w:rPr>
          <w:rFonts w:ascii="仿宋_GB2312" w:eastAsia="仿宋_GB2312" w:hAnsi="Calibri" w:hint="eastAsia"/>
          <w:sz w:val="28"/>
          <w:szCs w:val="28"/>
        </w:rPr>
        <w:t>、</w:t>
      </w:r>
      <w:r>
        <w:rPr>
          <w:rFonts w:ascii="仿宋_GB2312" w:eastAsia="仿宋_GB2312" w:hAnsi="Calibri" w:hint="eastAsia"/>
          <w:sz w:val="28"/>
          <w:szCs w:val="28"/>
        </w:rPr>
        <w:t>沐浴露</w:t>
      </w:r>
      <w:r w:rsidRPr="00B45E60">
        <w:rPr>
          <w:rFonts w:ascii="仿宋_GB2312" w:eastAsia="仿宋_GB2312" w:hAnsi="Calibri" w:hint="eastAsia"/>
          <w:sz w:val="28"/>
          <w:szCs w:val="28"/>
        </w:rPr>
        <w:t>等防暑用品，并再三叮嘱工人们要注意劳逸结合，合理安排作息时间，做好防暑降温、防晒保护措施，确保高温季节生产安全。</w:t>
      </w:r>
      <w:r w:rsidR="00B22FFC">
        <w:rPr>
          <w:rFonts w:ascii="仿宋_GB2312" w:eastAsia="仿宋_GB2312" w:hAnsi="Calibri" w:hint="eastAsia"/>
          <w:sz w:val="28"/>
          <w:szCs w:val="28"/>
        </w:rPr>
        <w:t xml:space="preserve">   </w:t>
      </w:r>
      <w:r w:rsidR="00A2452A">
        <w:rPr>
          <w:rFonts w:ascii="仿宋_GB2312" w:eastAsia="仿宋_GB2312" w:hAnsi="Calibri" w:hint="eastAsia"/>
          <w:sz w:val="28"/>
          <w:szCs w:val="28"/>
        </w:rPr>
        <w:t xml:space="preserve">                                        </w:t>
      </w:r>
    </w:p>
    <w:p w:rsidR="00BD6373" w:rsidRPr="00FF4827" w:rsidRDefault="00FF4827" w:rsidP="0016442A">
      <w:pPr>
        <w:spacing w:line="520" w:lineRule="exact"/>
        <w:ind w:firstLineChars="200" w:firstLine="560"/>
        <w:jc w:val="right"/>
        <w:rPr>
          <w:rFonts w:ascii="仿宋_GB2312" w:eastAsia="仿宋_GB2312" w:hAnsi="Calibri"/>
          <w:sz w:val="28"/>
          <w:szCs w:val="28"/>
        </w:rPr>
      </w:pPr>
      <w:r>
        <w:rPr>
          <w:rFonts w:ascii="仿宋_GB2312" w:eastAsia="仿宋_GB2312" w:hAnsi="Calibri" w:hint="eastAsia"/>
          <w:sz w:val="28"/>
          <w:szCs w:val="28"/>
        </w:rPr>
        <w:t>（协会秘书处）</w:t>
      </w:r>
    </w:p>
    <w:p w:rsidR="006442C9" w:rsidRDefault="006442C9" w:rsidP="00C34A6B">
      <w:pPr>
        <w:spacing w:line="520" w:lineRule="exact"/>
        <w:ind w:firstLineChars="200" w:firstLine="560"/>
        <w:rPr>
          <w:rFonts w:ascii="仿宋_GB2312" w:eastAsia="仿宋_GB2312" w:hAnsi="Calibri"/>
          <w:sz w:val="28"/>
          <w:szCs w:val="28"/>
        </w:rPr>
      </w:pPr>
    </w:p>
    <w:p w:rsidR="00FA044A" w:rsidRDefault="00813FD2">
      <w:pPr>
        <w:pStyle w:val="3"/>
        <w:spacing w:line="520" w:lineRule="exact"/>
      </w:pPr>
      <w:r>
        <w:rPr>
          <w:rFonts w:hint="eastAsia"/>
        </w:rPr>
        <w:t>【企业动态】</w:t>
      </w:r>
    </w:p>
    <w:p w:rsidR="0079454B" w:rsidRDefault="008F5E63" w:rsidP="0079454B">
      <w:pPr>
        <w:spacing w:line="520" w:lineRule="exact"/>
        <w:jc w:val="center"/>
        <w:rPr>
          <w:rFonts w:ascii="黑体" w:eastAsia="黑体"/>
          <w:b/>
          <w:sz w:val="24"/>
          <w:szCs w:val="24"/>
        </w:rPr>
      </w:pPr>
      <w:r w:rsidRPr="008F5E63">
        <w:rPr>
          <w:rFonts w:ascii="黑体" w:eastAsia="黑体" w:hint="eastAsia"/>
          <w:b/>
          <w:sz w:val="32"/>
          <w:szCs w:val="32"/>
        </w:rPr>
        <w:lastRenderedPageBreak/>
        <w:t>金山分公司</w:t>
      </w:r>
      <w:r>
        <w:rPr>
          <w:rFonts w:ascii="黑体" w:eastAsia="黑体" w:hint="eastAsia"/>
          <w:b/>
          <w:sz w:val="32"/>
          <w:szCs w:val="32"/>
        </w:rPr>
        <w:t>组织</w:t>
      </w:r>
      <w:proofErr w:type="gramStart"/>
      <w:r>
        <w:rPr>
          <w:rFonts w:ascii="黑体" w:eastAsia="黑体" w:hint="eastAsia"/>
          <w:b/>
          <w:sz w:val="32"/>
          <w:szCs w:val="32"/>
        </w:rPr>
        <w:t>召开网</w:t>
      </w:r>
      <w:proofErr w:type="gramEnd"/>
      <w:r>
        <w:rPr>
          <w:rFonts w:ascii="黑体" w:eastAsia="黑体" w:hint="eastAsia"/>
          <w:b/>
          <w:sz w:val="32"/>
          <w:szCs w:val="32"/>
        </w:rPr>
        <w:t>架安装专项施工方案专家论证会</w:t>
      </w:r>
    </w:p>
    <w:p w:rsidR="008F5E63" w:rsidRDefault="008F5E63" w:rsidP="008F5E63">
      <w:pPr>
        <w:spacing w:line="520" w:lineRule="exact"/>
        <w:ind w:firstLineChars="200" w:firstLine="480"/>
        <w:rPr>
          <w:rFonts w:ascii="仿宋_GB2312" w:eastAsia="仿宋_GB2312"/>
          <w:sz w:val="24"/>
          <w:szCs w:val="24"/>
        </w:rPr>
      </w:pPr>
    </w:p>
    <w:p w:rsidR="008F5E63" w:rsidRPr="008F5E63" w:rsidRDefault="008F5E63" w:rsidP="008F5E63">
      <w:pPr>
        <w:spacing w:line="520" w:lineRule="exact"/>
        <w:ind w:firstLineChars="200" w:firstLine="560"/>
        <w:rPr>
          <w:rFonts w:ascii="仿宋_GB2312" w:eastAsia="仿宋_GB2312"/>
          <w:sz w:val="28"/>
          <w:szCs w:val="28"/>
        </w:rPr>
      </w:pPr>
      <w:r w:rsidRPr="008F5E63">
        <w:rPr>
          <w:rFonts w:ascii="仿宋_GB2312" w:eastAsia="仿宋_GB2312" w:hint="eastAsia"/>
          <w:sz w:val="28"/>
          <w:szCs w:val="28"/>
        </w:rPr>
        <w:t>7月4日，金山分公司组织并邀请了上海市施工现场安全生产保证体系第一审核论证中心的五位教授及高工专家，对热电部燃料堆场密闭整改项目的危险性较大的分项工程脚手架高达35m的网架安装专项施工方案进行了方案评审。金山分公司项目领导及业主、监理相关人员参加了会议。</w:t>
      </w:r>
    </w:p>
    <w:p w:rsidR="003F6D3D" w:rsidRPr="003F6D3D" w:rsidRDefault="008F5E63" w:rsidP="008F5E63">
      <w:pPr>
        <w:spacing w:line="520" w:lineRule="exact"/>
        <w:ind w:firstLineChars="200" w:firstLine="560"/>
        <w:jc w:val="right"/>
        <w:rPr>
          <w:rFonts w:ascii="仿宋_GB2312" w:eastAsia="仿宋_GB2312"/>
          <w:sz w:val="28"/>
          <w:szCs w:val="28"/>
        </w:rPr>
      </w:pPr>
      <w:r w:rsidRPr="008F5E63">
        <w:rPr>
          <w:rFonts w:ascii="仿宋_GB2312" w:eastAsia="仿宋_GB2312" w:hint="eastAsia"/>
          <w:sz w:val="28"/>
          <w:szCs w:val="28"/>
        </w:rPr>
        <w:t xml:space="preserve">评审会上，江苏火花钢结构集团有限公司介绍了专项施工方案。专家们对方案进行了认真细致的讨论，在肯定方案的基础上对方案提出了一些必要的完善建议和意见。专家们一致认为本方案内容完整、可行，且有较强针对性和操作性，同意通过论证。同时，专家组还指出，在施工过程中，必须严格按照方案要求及相关规范规定的要求操作、执行。 </w:t>
      </w:r>
      <w:r w:rsidR="005721B1">
        <w:rPr>
          <w:rFonts w:ascii="仿宋_GB2312" w:eastAsia="仿宋_GB2312" w:hint="eastAsia"/>
          <w:sz w:val="28"/>
          <w:szCs w:val="28"/>
        </w:rPr>
        <w:t xml:space="preserve">        </w:t>
      </w:r>
      <w:r w:rsidR="0079454B">
        <w:rPr>
          <w:rFonts w:ascii="仿宋_GB2312" w:eastAsia="仿宋_GB2312" w:hint="eastAsia"/>
          <w:sz w:val="28"/>
          <w:szCs w:val="28"/>
        </w:rPr>
        <w:t xml:space="preserve">                               </w:t>
      </w:r>
      <w:r w:rsidR="0076527D">
        <w:rPr>
          <w:rFonts w:ascii="仿宋_GB2312" w:eastAsia="仿宋_GB2312" w:hint="eastAsia"/>
          <w:sz w:val="28"/>
          <w:szCs w:val="28"/>
        </w:rPr>
        <w:t xml:space="preserve">   </w:t>
      </w:r>
      <w:r w:rsidR="0079454B">
        <w:rPr>
          <w:rFonts w:ascii="仿宋_GB2312" w:eastAsia="仿宋_GB2312" w:hint="eastAsia"/>
          <w:sz w:val="28"/>
          <w:szCs w:val="28"/>
        </w:rPr>
        <w:t xml:space="preserve"> </w:t>
      </w:r>
      <w:r w:rsidR="005721B1">
        <w:rPr>
          <w:rFonts w:ascii="仿宋_GB2312" w:eastAsia="仿宋_GB2312" w:hint="eastAsia"/>
          <w:sz w:val="28"/>
          <w:szCs w:val="28"/>
        </w:rPr>
        <w:t>（金石建筑）</w:t>
      </w:r>
    </w:p>
    <w:p w:rsidR="003F6D3D" w:rsidRPr="003F6D3D" w:rsidRDefault="003F6D3D" w:rsidP="003F6D3D"/>
    <w:p w:rsidR="003F6D3D" w:rsidRPr="003F6D3D" w:rsidRDefault="003F6D3D" w:rsidP="003F6D3D"/>
    <w:p w:rsidR="00FA044A" w:rsidRDefault="00813FD2" w:rsidP="00D2017C">
      <w:pPr>
        <w:pStyle w:val="3"/>
        <w:spacing w:line="520" w:lineRule="exact"/>
      </w:pPr>
      <w:r>
        <w:rPr>
          <w:rFonts w:hint="eastAsia"/>
        </w:rPr>
        <w:t>【法律法规】</w:t>
      </w:r>
    </w:p>
    <w:p w:rsidR="007765B7" w:rsidRDefault="007765B7" w:rsidP="007765B7"/>
    <w:p w:rsidR="007765B7" w:rsidRDefault="00585046" w:rsidP="007765B7">
      <w:pPr>
        <w:jc w:val="center"/>
        <w:rPr>
          <w:rFonts w:ascii="黑体" w:eastAsia="黑体" w:hAnsi="Calibri"/>
          <w:b/>
          <w:sz w:val="32"/>
          <w:szCs w:val="32"/>
        </w:rPr>
      </w:pPr>
      <w:r w:rsidRPr="00585046">
        <w:rPr>
          <w:rFonts w:ascii="黑体" w:eastAsia="黑体" w:hAnsi="Calibri" w:hint="eastAsia"/>
          <w:b/>
          <w:sz w:val="32"/>
          <w:szCs w:val="32"/>
        </w:rPr>
        <w:t>关于建筑服务</w:t>
      </w:r>
      <w:proofErr w:type="gramStart"/>
      <w:r w:rsidRPr="00585046">
        <w:rPr>
          <w:rFonts w:ascii="黑体" w:eastAsia="黑体" w:hAnsi="Calibri" w:hint="eastAsia"/>
          <w:b/>
          <w:sz w:val="32"/>
          <w:szCs w:val="32"/>
        </w:rPr>
        <w:t>等营改增试点</w:t>
      </w:r>
      <w:proofErr w:type="gramEnd"/>
      <w:r w:rsidRPr="00585046">
        <w:rPr>
          <w:rFonts w:ascii="黑体" w:eastAsia="黑体" w:hAnsi="Calibri" w:hint="eastAsia"/>
          <w:b/>
          <w:sz w:val="32"/>
          <w:szCs w:val="32"/>
        </w:rPr>
        <w:t>政策的通知</w:t>
      </w:r>
    </w:p>
    <w:p w:rsidR="007765B7" w:rsidRDefault="00585046" w:rsidP="007765B7">
      <w:pPr>
        <w:jc w:val="center"/>
        <w:rPr>
          <w:rFonts w:ascii="仿宋_GB2312" w:eastAsia="仿宋_GB2312" w:hAnsi="Calibri"/>
          <w:szCs w:val="21"/>
        </w:rPr>
      </w:pPr>
      <w:r w:rsidRPr="007765B7">
        <w:rPr>
          <w:rFonts w:ascii="仿宋_GB2312" w:eastAsia="仿宋_GB2312" w:hAnsi="Calibri" w:hint="eastAsia"/>
          <w:szCs w:val="21"/>
        </w:rPr>
        <w:t>财税〔2017〕58号</w:t>
      </w:r>
    </w:p>
    <w:p w:rsidR="007765B7" w:rsidRDefault="007765B7" w:rsidP="007765B7">
      <w:pPr>
        <w:jc w:val="center"/>
        <w:rPr>
          <w:rFonts w:ascii="仿宋_GB2312" w:eastAsia="仿宋_GB2312" w:hAnsi="Calibri"/>
          <w:sz w:val="28"/>
          <w:szCs w:val="28"/>
        </w:rPr>
      </w:pPr>
    </w:p>
    <w:p w:rsidR="00585046" w:rsidRPr="00585046" w:rsidRDefault="00585046" w:rsidP="007765B7">
      <w:pPr>
        <w:jc w:val="left"/>
        <w:rPr>
          <w:rFonts w:ascii="仿宋_GB2312" w:eastAsia="仿宋_GB2312" w:hAnsi="Calibri"/>
          <w:sz w:val="28"/>
          <w:szCs w:val="28"/>
        </w:rPr>
      </w:pPr>
      <w:r w:rsidRPr="00585046">
        <w:rPr>
          <w:rFonts w:ascii="仿宋_GB2312" w:eastAsia="仿宋_GB2312" w:hAnsi="Calibri" w:hint="eastAsia"/>
          <w:sz w:val="28"/>
          <w:szCs w:val="28"/>
        </w:rPr>
        <w:t>各省、自治区、直辖市、计划单列市财政厅（局）、国家税务局、地方税务局，新疆生产建设兵团财务局：</w:t>
      </w:r>
    </w:p>
    <w:p w:rsidR="00585046" w:rsidRPr="00585046" w:rsidRDefault="00585046" w:rsidP="00585046">
      <w:pPr>
        <w:spacing w:line="520" w:lineRule="exact"/>
        <w:rPr>
          <w:rFonts w:ascii="仿宋_GB2312" w:eastAsia="仿宋_GB2312" w:hAnsi="Calibri"/>
          <w:sz w:val="28"/>
          <w:szCs w:val="28"/>
        </w:rPr>
      </w:pPr>
      <w:r w:rsidRPr="00585046">
        <w:rPr>
          <w:rFonts w:ascii="仿宋_GB2312" w:eastAsia="仿宋_GB2312" w:hAnsi="Calibri" w:hint="eastAsia"/>
          <w:sz w:val="28"/>
          <w:szCs w:val="28"/>
        </w:rPr>
        <w:t>现将</w:t>
      </w:r>
      <w:proofErr w:type="gramStart"/>
      <w:r w:rsidRPr="00585046">
        <w:rPr>
          <w:rFonts w:ascii="仿宋_GB2312" w:eastAsia="仿宋_GB2312" w:hAnsi="Calibri" w:hint="eastAsia"/>
          <w:sz w:val="28"/>
          <w:szCs w:val="28"/>
        </w:rPr>
        <w:t>营改增试点</w:t>
      </w:r>
      <w:proofErr w:type="gramEnd"/>
      <w:r w:rsidRPr="00585046">
        <w:rPr>
          <w:rFonts w:ascii="仿宋_GB2312" w:eastAsia="仿宋_GB2312" w:hAnsi="Calibri" w:hint="eastAsia"/>
          <w:sz w:val="28"/>
          <w:szCs w:val="28"/>
        </w:rPr>
        <w:t>期间建筑服务等政策补充通知如下：</w:t>
      </w:r>
    </w:p>
    <w:p w:rsidR="00585046" w:rsidRPr="00585046" w:rsidRDefault="00585046" w:rsidP="00585046">
      <w:pPr>
        <w:spacing w:line="520" w:lineRule="exact"/>
        <w:rPr>
          <w:rFonts w:ascii="仿宋_GB2312" w:eastAsia="仿宋_GB2312" w:hAnsi="Calibri"/>
          <w:sz w:val="28"/>
          <w:szCs w:val="28"/>
        </w:rPr>
      </w:pPr>
      <w:r w:rsidRPr="00585046">
        <w:rPr>
          <w:rFonts w:ascii="仿宋_GB2312" w:eastAsia="仿宋_GB2312" w:hAnsi="Calibri" w:hint="eastAsia"/>
          <w:sz w:val="28"/>
          <w:szCs w:val="28"/>
        </w:rPr>
        <w:t xml:space="preserve">　　一、建筑工程总承包单位为房屋建筑的地基与基础、主体结构提供工程服务，建设单位自行采购全部或部分钢材、混凝土、砌</w:t>
      </w:r>
      <w:proofErr w:type="gramStart"/>
      <w:r w:rsidRPr="00585046">
        <w:rPr>
          <w:rFonts w:ascii="仿宋_GB2312" w:eastAsia="仿宋_GB2312" w:hAnsi="Calibri" w:hint="eastAsia"/>
          <w:sz w:val="28"/>
          <w:szCs w:val="28"/>
        </w:rPr>
        <w:t>体材</w:t>
      </w:r>
      <w:proofErr w:type="gramEnd"/>
      <w:r w:rsidRPr="00585046">
        <w:rPr>
          <w:rFonts w:ascii="仿宋_GB2312" w:eastAsia="仿宋_GB2312" w:hAnsi="Calibri" w:hint="eastAsia"/>
          <w:sz w:val="28"/>
          <w:szCs w:val="28"/>
        </w:rPr>
        <w:t>料、预制构件的，适用简易计税方法计税。</w:t>
      </w:r>
    </w:p>
    <w:p w:rsidR="00585046" w:rsidRPr="00585046" w:rsidRDefault="00585046" w:rsidP="00585046">
      <w:pPr>
        <w:spacing w:line="520" w:lineRule="exact"/>
        <w:rPr>
          <w:rFonts w:ascii="仿宋_GB2312" w:eastAsia="仿宋_GB2312" w:hAnsi="Calibri"/>
          <w:sz w:val="28"/>
          <w:szCs w:val="28"/>
        </w:rPr>
      </w:pPr>
      <w:r w:rsidRPr="00585046">
        <w:rPr>
          <w:rFonts w:ascii="仿宋_GB2312" w:eastAsia="仿宋_GB2312" w:hAnsi="Calibri" w:hint="eastAsia"/>
          <w:sz w:val="28"/>
          <w:szCs w:val="28"/>
        </w:rPr>
        <w:lastRenderedPageBreak/>
        <w:t xml:space="preserve">　　地基与基础、主体结构的范围，按照《建筑工程施工质量验收统一标准》（GB50300-2013）附录B《建筑工程的分部工程、分项工程划分》中的“地基与基础”“主体结构”分部工程的范围执行。</w:t>
      </w:r>
    </w:p>
    <w:p w:rsidR="00585046" w:rsidRPr="00585046" w:rsidRDefault="00585046" w:rsidP="00585046">
      <w:pPr>
        <w:spacing w:line="520" w:lineRule="exact"/>
        <w:rPr>
          <w:rFonts w:ascii="仿宋_GB2312" w:eastAsia="仿宋_GB2312" w:hAnsi="Calibri"/>
          <w:sz w:val="28"/>
          <w:szCs w:val="28"/>
        </w:rPr>
      </w:pPr>
      <w:r w:rsidRPr="00585046">
        <w:rPr>
          <w:rFonts w:ascii="仿宋_GB2312" w:eastAsia="仿宋_GB2312" w:hAnsi="Calibri" w:hint="eastAsia"/>
          <w:sz w:val="28"/>
          <w:szCs w:val="28"/>
        </w:rPr>
        <w:t xml:space="preserve">　　二、《营业税改征增值税试点实施办法》(财税〔2016〕36号印发)第四十五条第(二)项修改为“纳税人提供租赁服务采取预收款方式的，其纳税义务发生时间为收到预收款的当天”。</w:t>
      </w:r>
    </w:p>
    <w:p w:rsidR="00585046" w:rsidRPr="00585046" w:rsidRDefault="00585046" w:rsidP="00585046">
      <w:pPr>
        <w:spacing w:line="520" w:lineRule="exact"/>
        <w:rPr>
          <w:rFonts w:ascii="仿宋_GB2312" w:eastAsia="仿宋_GB2312" w:hAnsi="Calibri"/>
          <w:sz w:val="28"/>
          <w:szCs w:val="28"/>
        </w:rPr>
      </w:pPr>
      <w:r w:rsidRPr="00585046">
        <w:rPr>
          <w:rFonts w:ascii="仿宋_GB2312" w:eastAsia="仿宋_GB2312" w:hAnsi="Calibri" w:hint="eastAsia"/>
          <w:sz w:val="28"/>
          <w:szCs w:val="28"/>
        </w:rPr>
        <w:t xml:space="preserve">　　三、纳税人提供建筑服务取得预收款，应在收到预收款时，以取得的预收款扣除支付的分包款后的余额，按照本条第三款规定的</w:t>
      </w:r>
      <w:proofErr w:type="gramStart"/>
      <w:r w:rsidRPr="00585046">
        <w:rPr>
          <w:rFonts w:ascii="仿宋_GB2312" w:eastAsia="仿宋_GB2312" w:hAnsi="Calibri" w:hint="eastAsia"/>
          <w:sz w:val="28"/>
          <w:szCs w:val="28"/>
        </w:rPr>
        <w:t>预征率</w:t>
      </w:r>
      <w:proofErr w:type="gramEnd"/>
      <w:r w:rsidRPr="00585046">
        <w:rPr>
          <w:rFonts w:ascii="仿宋_GB2312" w:eastAsia="仿宋_GB2312" w:hAnsi="Calibri" w:hint="eastAsia"/>
          <w:sz w:val="28"/>
          <w:szCs w:val="28"/>
        </w:rPr>
        <w:t>预缴增值税。</w:t>
      </w:r>
    </w:p>
    <w:p w:rsidR="00585046" w:rsidRPr="00585046" w:rsidRDefault="00585046" w:rsidP="00585046">
      <w:pPr>
        <w:spacing w:line="520" w:lineRule="exact"/>
        <w:rPr>
          <w:rFonts w:ascii="仿宋_GB2312" w:eastAsia="仿宋_GB2312" w:hAnsi="Calibri"/>
          <w:sz w:val="28"/>
          <w:szCs w:val="28"/>
        </w:rPr>
      </w:pPr>
      <w:r w:rsidRPr="00585046">
        <w:rPr>
          <w:rFonts w:ascii="仿宋_GB2312" w:eastAsia="仿宋_GB2312" w:hAnsi="Calibri" w:hint="eastAsia"/>
          <w:sz w:val="28"/>
          <w:szCs w:val="28"/>
        </w:rPr>
        <w:t xml:space="preserve">　　按照现行规定应在建筑服务发生地预缴增值税的项目，纳税人收到预收款时在建筑服务发生地预缴增值税。按照现行规定无需在建筑服务发生地预缴增值税的项目，纳税人收到预收款时在机构所在地预缴增值税。</w:t>
      </w:r>
    </w:p>
    <w:p w:rsidR="00585046" w:rsidRPr="00585046" w:rsidRDefault="00585046" w:rsidP="00585046">
      <w:pPr>
        <w:spacing w:line="520" w:lineRule="exact"/>
        <w:rPr>
          <w:rFonts w:ascii="仿宋_GB2312" w:eastAsia="仿宋_GB2312" w:hAnsi="Calibri"/>
          <w:sz w:val="28"/>
          <w:szCs w:val="28"/>
        </w:rPr>
      </w:pPr>
      <w:r w:rsidRPr="00585046">
        <w:rPr>
          <w:rFonts w:ascii="仿宋_GB2312" w:eastAsia="仿宋_GB2312" w:hAnsi="Calibri" w:hint="eastAsia"/>
          <w:sz w:val="28"/>
          <w:szCs w:val="28"/>
        </w:rPr>
        <w:t xml:space="preserve">　　适用一般计税方法计税的项目</w:t>
      </w:r>
      <w:proofErr w:type="gramStart"/>
      <w:r w:rsidRPr="00585046">
        <w:rPr>
          <w:rFonts w:ascii="仿宋_GB2312" w:eastAsia="仿宋_GB2312" w:hAnsi="Calibri" w:hint="eastAsia"/>
          <w:sz w:val="28"/>
          <w:szCs w:val="28"/>
        </w:rPr>
        <w:t>预征率</w:t>
      </w:r>
      <w:proofErr w:type="gramEnd"/>
      <w:r w:rsidRPr="00585046">
        <w:rPr>
          <w:rFonts w:ascii="仿宋_GB2312" w:eastAsia="仿宋_GB2312" w:hAnsi="Calibri" w:hint="eastAsia"/>
          <w:sz w:val="28"/>
          <w:szCs w:val="28"/>
        </w:rPr>
        <w:t>为2%，适用简易计税方法计税的项目</w:t>
      </w:r>
      <w:proofErr w:type="gramStart"/>
      <w:r w:rsidRPr="00585046">
        <w:rPr>
          <w:rFonts w:ascii="仿宋_GB2312" w:eastAsia="仿宋_GB2312" w:hAnsi="Calibri" w:hint="eastAsia"/>
          <w:sz w:val="28"/>
          <w:szCs w:val="28"/>
        </w:rPr>
        <w:t>预征率</w:t>
      </w:r>
      <w:proofErr w:type="gramEnd"/>
      <w:r w:rsidRPr="00585046">
        <w:rPr>
          <w:rFonts w:ascii="仿宋_GB2312" w:eastAsia="仿宋_GB2312" w:hAnsi="Calibri" w:hint="eastAsia"/>
          <w:sz w:val="28"/>
          <w:szCs w:val="28"/>
        </w:rPr>
        <w:t>为3%。</w:t>
      </w:r>
    </w:p>
    <w:p w:rsidR="00585046" w:rsidRPr="00585046" w:rsidRDefault="00585046" w:rsidP="00585046">
      <w:pPr>
        <w:spacing w:line="520" w:lineRule="exact"/>
        <w:rPr>
          <w:rFonts w:ascii="仿宋_GB2312" w:eastAsia="仿宋_GB2312" w:hAnsi="Calibri"/>
          <w:sz w:val="28"/>
          <w:szCs w:val="28"/>
        </w:rPr>
      </w:pPr>
      <w:r w:rsidRPr="00585046">
        <w:rPr>
          <w:rFonts w:ascii="仿宋_GB2312" w:eastAsia="仿宋_GB2312" w:hAnsi="Calibri" w:hint="eastAsia"/>
          <w:sz w:val="28"/>
          <w:szCs w:val="28"/>
        </w:rPr>
        <w:t xml:space="preserve">　　四、纳税人采取转包、出租、互换、转让、入股等方式将承包地流转给农业生产者用于农业生产，免征增值税。</w:t>
      </w:r>
    </w:p>
    <w:p w:rsidR="00585046" w:rsidRPr="00585046" w:rsidRDefault="00585046" w:rsidP="00585046">
      <w:pPr>
        <w:spacing w:line="520" w:lineRule="exact"/>
        <w:rPr>
          <w:rFonts w:ascii="仿宋_GB2312" w:eastAsia="仿宋_GB2312" w:hAnsi="Calibri"/>
          <w:sz w:val="28"/>
          <w:szCs w:val="28"/>
        </w:rPr>
      </w:pPr>
      <w:r w:rsidRPr="00585046">
        <w:rPr>
          <w:rFonts w:ascii="仿宋_GB2312" w:eastAsia="仿宋_GB2312" w:hAnsi="Calibri" w:hint="eastAsia"/>
          <w:sz w:val="28"/>
          <w:szCs w:val="28"/>
        </w:rPr>
        <w:t xml:space="preserve">　　五、自2018年1月1日起，金融机构开展贴现、转贴现业务，以其实际持有票据期间取得的利息收入作为贷款服务销售额计算缴纳增值税。此前贴现机构已就贴现利息收入全额缴纳增值税的票据，转贴现机构转贴现利息收入继续免征增值税。</w:t>
      </w:r>
    </w:p>
    <w:p w:rsidR="00585046" w:rsidRPr="00585046" w:rsidRDefault="00585046" w:rsidP="00585046">
      <w:pPr>
        <w:spacing w:line="520" w:lineRule="exact"/>
        <w:rPr>
          <w:rFonts w:ascii="仿宋_GB2312" w:eastAsia="仿宋_GB2312" w:hAnsi="Calibri"/>
          <w:sz w:val="28"/>
          <w:szCs w:val="28"/>
        </w:rPr>
      </w:pPr>
      <w:r w:rsidRPr="00585046">
        <w:rPr>
          <w:rFonts w:ascii="仿宋_GB2312" w:eastAsia="仿宋_GB2312" w:hAnsi="Calibri" w:hint="eastAsia"/>
          <w:sz w:val="28"/>
          <w:szCs w:val="28"/>
        </w:rPr>
        <w:t xml:space="preserve">　　六、本通知除第五条外，自2017年7月1日起执行。《营业税改征增值税试点实施办法》(财税〔2016〕36号印发)第七条自2017年7月1日起废止。《营业税改征增值税试点过渡政策的规定》（财税〔2016〕36号印发）第一条第（二十三）项第4点自2018年1月1日起废止。</w:t>
      </w:r>
    </w:p>
    <w:p w:rsidR="00585046" w:rsidRPr="00585046" w:rsidRDefault="00585046" w:rsidP="00585046">
      <w:pPr>
        <w:spacing w:line="520" w:lineRule="exact"/>
        <w:rPr>
          <w:rFonts w:ascii="仿宋_GB2312" w:eastAsia="仿宋_GB2312" w:hAnsi="Calibri"/>
          <w:sz w:val="28"/>
          <w:szCs w:val="28"/>
        </w:rPr>
      </w:pPr>
      <w:r w:rsidRPr="00585046">
        <w:rPr>
          <w:rFonts w:ascii="仿宋_GB2312" w:eastAsia="仿宋_GB2312" w:hAnsi="Calibri"/>
          <w:sz w:val="28"/>
          <w:szCs w:val="28"/>
        </w:rPr>
        <w:t xml:space="preserve"> </w:t>
      </w:r>
    </w:p>
    <w:p w:rsidR="00585046" w:rsidRPr="00585046" w:rsidRDefault="00585046" w:rsidP="007765B7">
      <w:pPr>
        <w:spacing w:line="520" w:lineRule="exact"/>
        <w:jc w:val="right"/>
        <w:rPr>
          <w:rFonts w:ascii="仿宋_GB2312" w:eastAsia="仿宋_GB2312" w:hAnsi="Calibri"/>
          <w:sz w:val="28"/>
          <w:szCs w:val="28"/>
        </w:rPr>
      </w:pPr>
      <w:r w:rsidRPr="00585046">
        <w:rPr>
          <w:rFonts w:ascii="仿宋_GB2312" w:eastAsia="仿宋_GB2312" w:hAnsi="Calibri" w:hint="eastAsia"/>
          <w:sz w:val="28"/>
          <w:szCs w:val="28"/>
        </w:rPr>
        <w:lastRenderedPageBreak/>
        <w:t>财政部 税务总局</w:t>
      </w:r>
    </w:p>
    <w:p w:rsidR="0076527D" w:rsidRDefault="00585046" w:rsidP="007765B7">
      <w:pPr>
        <w:spacing w:line="520" w:lineRule="exact"/>
        <w:jc w:val="right"/>
        <w:rPr>
          <w:rFonts w:ascii="仿宋_GB2312" w:eastAsia="仿宋_GB2312" w:hAnsi="Calibri"/>
          <w:sz w:val="28"/>
          <w:szCs w:val="28"/>
        </w:rPr>
      </w:pPr>
      <w:r w:rsidRPr="00585046">
        <w:rPr>
          <w:rFonts w:ascii="仿宋_GB2312" w:eastAsia="仿宋_GB2312" w:hAnsi="Calibri" w:hint="eastAsia"/>
          <w:sz w:val="28"/>
          <w:szCs w:val="28"/>
        </w:rPr>
        <w:t>2017年7月11日</w:t>
      </w:r>
    </w:p>
    <w:p w:rsidR="007765B7" w:rsidRDefault="007765B7" w:rsidP="007765B7">
      <w:pPr>
        <w:spacing w:line="520" w:lineRule="exact"/>
        <w:jc w:val="right"/>
        <w:rPr>
          <w:rFonts w:ascii="仿宋_GB2312" w:eastAsia="仿宋_GB2312" w:hAnsi="Calibri"/>
          <w:sz w:val="28"/>
          <w:szCs w:val="28"/>
        </w:rPr>
      </w:pPr>
    </w:p>
    <w:p w:rsidR="007765B7" w:rsidRDefault="007765B7" w:rsidP="007765B7">
      <w:pPr>
        <w:jc w:val="center"/>
        <w:rPr>
          <w:rFonts w:ascii="黑体" w:eastAsia="黑体" w:hAnsi="Calibri"/>
          <w:b/>
          <w:sz w:val="32"/>
          <w:szCs w:val="32"/>
        </w:rPr>
      </w:pPr>
      <w:r w:rsidRPr="007765B7">
        <w:rPr>
          <w:rFonts w:ascii="黑体" w:eastAsia="黑体" w:hAnsi="Calibri" w:hint="eastAsia"/>
          <w:b/>
          <w:sz w:val="32"/>
          <w:szCs w:val="32"/>
        </w:rPr>
        <w:t>关于加强高温季节施工现场安全生产管理工作的通知</w:t>
      </w:r>
    </w:p>
    <w:p w:rsidR="007765B7" w:rsidRDefault="007765B7" w:rsidP="007765B7">
      <w:pPr>
        <w:jc w:val="center"/>
        <w:rPr>
          <w:rFonts w:ascii="仿宋_GB2312" w:eastAsia="仿宋_GB2312" w:hAnsi="Calibri"/>
          <w:szCs w:val="21"/>
        </w:rPr>
      </w:pPr>
      <w:r w:rsidRPr="007765B7">
        <w:rPr>
          <w:rFonts w:ascii="仿宋_GB2312" w:eastAsia="仿宋_GB2312" w:hAnsi="Calibri" w:hint="eastAsia"/>
          <w:szCs w:val="21"/>
        </w:rPr>
        <w:t>沪建安质监（2017）50号</w:t>
      </w:r>
    </w:p>
    <w:p w:rsidR="007765B7" w:rsidRDefault="007765B7" w:rsidP="007765B7">
      <w:pPr>
        <w:spacing w:line="520" w:lineRule="exact"/>
        <w:rPr>
          <w:rFonts w:ascii="仿宋_GB2312" w:eastAsia="仿宋_GB2312" w:hAnsi="Calibri"/>
          <w:sz w:val="28"/>
          <w:szCs w:val="28"/>
        </w:rPr>
      </w:pP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各有关单位：</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目前，本市已进入盛夏高温季节，连续多日最高气温超过35℃，为贯彻落实《职业病防治法》等法律法规要求，切实做好防暑降温工作，保障施工安全，现就有关事项通知如下：</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一、严格执行带班制度</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项目经理和项目总监必须严格执行领导带班制度，保证施工现场安全管理体系正常运行；施工单位的企业负责人按照带班检查要求，每月不少于一次对所属工地检查，检查项目安全生产管理体系运行情况。监理单位要督促施工单位落实带班生产制度；现场施工单位和监理单位的项目部管理班子的工作时间，必须与现场施工班组的工作时间一致，特别是目前“做两头、歇中间”的高温施工作业季节以及其它节假日、双休日，必须做到管理到位，确保安全生产管理体系正常运作。</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二、严格做好施工前的安全教育和安全交底</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总包单</w:t>
      </w:r>
      <w:proofErr w:type="gramStart"/>
      <w:r w:rsidRPr="007765B7">
        <w:rPr>
          <w:rFonts w:ascii="仿宋_GB2312" w:eastAsia="仿宋_GB2312" w:hAnsi="Calibri" w:hint="eastAsia"/>
          <w:sz w:val="28"/>
          <w:szCs w:val="28"/>
        </w:rPr>
        <w:t>位项目</w:t>
      </w:r>
      <w:proofErr w:type="gramEnd"/>
      <w:r w:rsidRPr="007765B7">
        <w:rPr>
          <w:rFonts w:ascii="仿宋_GB2312" w:eastAsia="仿宋_GB2312" w:hAnsi="Calibri" w:hint="eastAsia"/>
          <w:sz w:val="28"/>
          <w:szCs w:val="28"/>
        </w:rPr>
        <w:t>部必须加强每天开工前的安全生产条件检查，落实安全技术措施，做好针对高温季节的安全教育、安全交底和应急培训工作，同时督促各分包劳务作业班组做好班前的安全教育和安全交底工作，确保安全生产。</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三、严格做好夏令季节的劳动保护工作</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市中心气象台天气预报高温黄色预警或者最高气温超过35℃时，除紧急抢险、抢修作业等特殊要求外，白天高温时段（上午11：00至下午</w:t>
      </w:r>
      <w:r w:rsidRPr="007765B7">
        <w:rPr>
          <w:rFonts w:ascii="仿宋_GB2312" w:eastAsia="仿宋_GB2312" w:hAnsi="Calibri" w:hint="eastAsia"/>
          <w:sz w:val="28"/>
          <w:szCs w:val="28"/>
        </w:rPr>
        <w:lastRenderedPageBreak/>
        <w:t>15：00），暂停所有的户外施工作业。</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市中心气象台天气预报高温橙色预警或者最高气温超过37℃时，除紧急抢险、抢修作业等特殊要求外，白天高温时段（上午10：00至下午16：00），暂停所有的户外施工作业。</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市中心气象台天气预报高温红色预警或者最高气温超过40℃时，除紧急抢险、抢修作业等特殊要求外，全天停止所有的户外施工作业。</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各施工单位要合理调整作息时间，同时严格遵守文明施工管理规定和夜间施工许可管理办法，严禁施工扰民，保障作业人员及周边居民的基本作息时间。</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各施工单位要切实做好本工地的卫生防疫工作，加强对食品和饮用水的卫生管理，严格执行食品卫生管理制度，饮食饮水应当符合防暑降温工作的要求，避免发生因食品变质引发的群体性卫生事件。</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各施工单位应在施工现场为高温天气作业的人员供给足够的、符合卫生标准的防暑降温用品及必需的应急药品。</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参建各方不得因高温天气停止作业、缩短作业时间等原因扣除或降低作业人员工资，不得以工期为由强制要求施工单位和作业人员高温户外施工作业。</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sz w:val="28"/>
          <w:szCs w:val="28"/>
        </w:rPr>
        <w:t xml:space="preserve"> </w:t>
      </w:r>
    </w:p>
    <w:p w:rsidR="007765B7" w:rsidRPr="007765B7" w:rsidRDefault="007765B7" w:rsidP="007765B7">
      <w:pPr>
        <w:spacing w:line="520" w:lineRule="exact"/>
        <w:jc w:val="right"/>
        <w:rPr>
          <w:rFonts w:ascii="仿宋_GB2312" w:eastAsia="仿宋_GB2312" w:hAnsi="Calibri"/>
          <w:sz w:val="28"/>
          <w:szCs w:val="28"/>
        </w:rPr>
      </w:pPr>
      <w:r w:rsidRPr="007765B7">
        <w:rPr>
          <w:rFonts w:ascii="仿宋_GB2312" w:eastAsia="仿宋_GB2312" w:hAnsi="Calibri" w:hint="eastAsia"/>
          <w:sz w:val="28"/>
          <w:szCs w:val="28"/>
        </w:rPr>
        <w:t xml:space="preserve">　　上海市建设工程安全质量监督总站</w:t>
      </w:r>
    </w:p>
    <w:p w:rsidR="007765B7" w:rsidRDefault="007765B7" w:rsidP="007765B7">
      <w:pPr>
        <w:spacing w:line="520" w:lineRule="exact"/>
        <w:jc w:val="right"/>
        <w:rPr>
          <w:rFonts w:ascii="仿宋_GB2312" w:eastAsia="仿宋_GB2312" w:hAnsi="Calibri"/>
          <w:sz w:val="28"/>
          <w:szCs w:val="28"/>
        </w:rPr>
      </w:pPr>
      <w:r w:rsidRPr="007765B7">
        <w:rPr>
          <w:rFonts w:ascii="仿宋_GB2312" w:eastAsia="仿宋_GB2312" w:hAnsi="Calibri" w:hint="eastAsia"/>
          <w:sz w:val="28"/>
          <w:szCs w:val="28"/>
        </w:rPr>
        <w:t xml:space="preserve">　　2017年7月20日</w:t>
      </w:r>
    </w:p>
    <w:p w:rsidR="007765B7" w:rsidRDefault="007765B7" w:rsidP="007765B7">
      <w:pPr>
        <w:spacing w:line="520" w:lineRule="exact"/>
        <w:jc w:val="right"/>
        <w:rPr>
          <w:rFonts w:ascii="仿宋_GB2312" w:eastAsia="仿宋_GB2312" w:hAnsi="Calibri"/>
          <w:sz w:val="28"/>
          <w:szCs w:val="28"/>
        </w:rPr>
      </w:pPr>
    </w:p>
    <w:p w:rsidR="007765B7" w:rsidRDefault="007765B7" w:rsidP="007765B7">
      <w:pPr>
        <w:jc w:val="center"/>
        <w:rPr>
          <w:rFonts w:ascii="黑体" w:eastAsia="黑体" w:hAnsi="Calibri"/>
          <w:b/>
          <w:sz w:val="32"/>
          <w:szCs w:val="32"/>
        </w:rPr>
      </w:pPr>
      <w:r w:rsidRPr="007765B7">
        <w:rPr>
          <w:rFonts w:ascii="黑体" w:eastAsia="黑体" w:hAnsi="Calibri" w:hint="eastAsia"/>
          <w:b/>
          <w:sz w:val="32"/>
          <w:szCs w:val="32"/>
        </w:rPr>
        <w:t>关于印发《上海市新型建设工程材料认定管理办法》的通知</w:t>
      </w:r>
    </w:p>
    <w:p w:rsidR="007765B7" w:rsidRDefault="007765B7" w:rsidP="007765B7">
      <w:pPr>
        <w:jc w:val="center"/>
        <w:rPr>
          <w:rFonts w:ascii="仿宋_GB2312" w:eastAsia="仿宋_GB2312" w:hAnsi="Calibri"/>
          <w:szCs w:val="21"/>
        </w:rPr>
      </w:pPr>
      <w:r w:rsidRPr="007765B7">
        <w:rPr>
          <w:rFonts w:ascii="仿宋_GB2312" w:eastAsia="仿宋_GB2312" w:hAnsi="Calibri" w:hint="eastAsia"/>
          <w:szCs w:val="21"/>
        </w:rPr>
        <w:t>沪建建材（2017）584号</w:t>
      </w:r>
    </w:p>
    <w:p w:rsidR="007765B7" w:rsidRDefault="007765B7" w:rsidP="007765B7">
      <w:pPr>
        <w:spacing w:line="520" w:lineRule="exact"/>
        <w:rPr>
          <w:rFonts w:ascii="仿宋_GB2312" w:eastAsia="仿宋_GB2312" w:hAnsi="Calibri"/>
          <w:sz w:val="28"/>
          <w:szCs w:val="28"/>
        </w:rPr>
      </w:pP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各有关单位：</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《上海市新型建设工程材料认定管理办法》</w:t>
      </w:r>
      <w:proofErr w:type="gramStart"/>
      <w:r w:rsidRPr="007765B7">
        <w:rPr>
          <w:rFonts w:ascii="仿宋_GB2312" w:eastAsia="仿宋_GB2312" w:hAnsi="Calibri" w:hint="eastAsia"/>
          <w:sz w:val="28"/>
          <w:szCs w:val="28"/>
        </w:rPr>
        <w:t>已经我</w:t>
      </w:r>
      <w:proofErr w:type="gramEnd"/>
      <w:r w:rsidRPr="007765B7">
        <w:rPr>
          <w:rFonts w:ascii="仿宋_GB2312" w:eastAsia="仿宋_GB2312" w:hAnsi="Calibri" w:hint="eastAsia"/>
          <w:sz w:val="28"/>
          <w:szCs w:val="28"/>
        </w:rPr>
        <w:t>委2017年第3次</w:t>
      </w:r>
      <w:r w:rsidRPr="007765B7">
        <w:rPr>
          <w:rFonts w:ascii="仿宋_GB2312" w:eastAsia="仿宋_GB2312" w:hAnsi="Calibri" w:hint="eastAsia"/>
          <w:sz w:val="28"/>
          <w:szCs w:val="28"/>
        </w:rPr>
        <w:lastRenderedPageBreak/>
        <w:t>主任办公会议审议通过，现予以发布，请遵照执行。 特此通知。</w:t>
      </w:r>
    </w:p>
    <w:p w:rsidR="007765B7" w:rsidRPr="007765B7" w:rsidRDefault="007765B7" w:rsidP="007765B7">
      <w:pPr>
        <w:spacing w:line="520" w:lineRule="exact"/>
        <w:rPr>
          <w:rFonts w:ascii="仿宋_GB2312" w:eastAsia="仿宋_GB2312" w:hAnsi="Calibri"/>
          <w:sz w:val="28"/>
          <w:szCs w:val="28"/>
        </w:rPr>
      </w:pPr>
    </w:p>
    <w:p w:rsidR="007765B7" w:rsidRPr="007765B7" w:rsidRDefault="007765B7" w:rsidP="001760CD">
      <w:pPr>
        <w:spacing w:line="520" w:lineRule="exact"/>
        <w:jc w:val="right"/>
        <w:rPr>
          <w:rFonts w:ascii="仿宋_GB2312" w:eastAsia="仿宋_GB2312" w:hAnsi="Calibri"/>
          <w:sz w:val="28"/>
          <w:szCs w:val="28"/>
        </w:rPr>
      </w:pPr>
      <w:r w:rsidRPr="007765B7">
        <w:rPr>
          <w:rFonts w:ascii="仿宋_GB2312" w:eastAsia="仿宋_GB2312" w:hAnsi="Calibri" w:hint="eastAsia"/>
          <w:sz w:val="28"/>
          <w:szCs w:val="28"/>
        </w:rPr>
        <w:t>上海市住房和城乡建设管理委员会</w:t>
      </w:r>
    </w:p>
    <w:p w:rsidR="007765B7" w:rsidRPr="007765B7" w:rsidRDefault="007765B7" w:rsidP="001760CD">
      <w:pPr>
        <w:spacing w:line="520" w:lineRule="exact"/>
        <w:jc w:val="right"/>
        <w:rPr>
          <w:rFonts w:ascii="仿宋_GB2312" w:eastAsia="仿宋_GB2312" w:hAnsi="Calibri"/>
          <w:sz w:val="28"/>
          <w:szCs w:val="28"/>
        </w:rPr>
      </w:pPr>
      <w:r w:rsidRPr="007765B7">
        <w:rPr>
          <w:rFonts w:ascii="仿宋_GB2312" w:eastAsia="仿宋_GB2312" w:hAnsi="Calibri" w:hint="eastAsia"/>
          <w:sz w:val="28"/>
          <w:szCs w:val="28"/>
        </w:rPr>
        <w:t>二○一七年六月二十七日</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sz w:val="28"/>
          <w:szCs w:val="28"/>
        </w:rPr>
        <w:t xml:space="preserve"> </w:t>
      </w:r>
    </w:p>
    <w:p w:rsidR="007765B7" w:rsidRDefault="007765B7" w:rsidP="007765B7">
      <w:pPr>
        <w:spacing w:line="520" w:lineRule="exact"/>
        <w:jc w:val="center"/>
        <w:rPr>
          <w:rFonts w:ascii="仿宋_GB2312" w:eastAsia="仿宋_GB2312" w:hAnsi="Calibri" w:hint="eastAsia"/>
          <w:b/>
          <w:sz w:val="28"/>
          <w:szCs w:val="28"/>
        </w:rPr>
      </w:pPr>
      <w:r w:rsidRPr="007765B7">
        <w:rPr>
          <w:rFonts w:ascii="仿宋_GB2312" w:eastAsia="仿宋_GB2312" w:hAnsi="Calibri" w:hint="eastAsia"/>
          <w:b/>
          <w:sz w:val="28"/>
          <w:szCs w:val="28"/>
        </w:rPr>
        <w:t>上海市新型建设工程材料认定管理办法</w:t>
      </w:r>
    </w:p>
    <w:p w:rsidR="00F46263" w:rsidRPr="007765B7" w:rsidRDefault="00F46263" w:rsidP="007765B7">
      <w:pPr>
        <w:spacing w:line="520" w:lineRule="exact"/>
        <w:jc w:val="center"/>
        <w:rPr>
          <w:rFonts w:ascii="仿宋_GB2312" w:eastAsia="仿宋_GB2312" w:hAnsi="Calibri"/>
          <w:b/>
          <w:sz w:val="28"/>
          <w:szCs w:val="28"/>
        </w:rPr>
      </w:pP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为深化行政审批制度改革，加快推进建材行业科技创新，鼓励发展并推广节约土地、节约能源、科技含量高、有利于保护环境的新型建设工程材料应用，根据《上海市建设工程材料管理条例》《上海市政府购买服务管理办法》等有关规定，制定本办法。</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第一条　 本办法适用于：尚无国家、地方、行业标准的，已在一个以上建设工程试点应用，</w:t>
      </w:r>
      <w:proofErr w:type="gramStart"/>
      <w:r w:rsidRPr="007765B7">
        <w:rPr>
          <w:rFonts w:ascii="仿宋_GB2312" w:eastAsia="仿宋_GB2312" w:hAnsi="Calibri" w:hint="eastAsia"/>
          <w:sz w:val="28"/>
          <w:szCs w:val="28"/>
        </w:rPr>
        <w:t>且按照</w:t>
      </w:r>
      <w:proofErr w:type="gramEnd"/>
      <w:r w:rsidRPr="007765B7">
        <w:rPr>
          <w:rFonts w:ascii="仿宋_GB2312" w:eastAsia="仿宋_GB2312" w:hAnsi="Calibri" w:hint="eastAsia"/>
          <w:sz w:val="28"/>
          <w:szCs w:val="28"/>
        </w:rPr>
        <w:t>《上海市建设工程材料使用监督管理规定》（沪建管〔2015〕726号）属于备案产品类别（详见附件一）的新型建设工程材料。</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第二条　上海市住房和城乡建设管理委员会（以下简称市住房城乡建设管理委）负责本市新型建设工程材料推广应用管理，组织实施本市新型建设工程材料认定工作。上海市建筑建材业市场管理总站（以下简称市市场管理总站）承担本市新型建设工程材料认定的申请受理及相关日常事务，上海市住房和城乡建设管理委员会科学技术委员会（以下简称委科技委）承担技术评估工作。</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第三条　申请本市新型建设工程材料认定的生产单位，应当提供下列资料：</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（一）《上海市新型建设工程材料认定申请表》；</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（二）采用的产品标准和施工工艺；</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（三）具有相应资质的检测机构出具的产品检测合格证明或者新型</w:t>
      </w:r>
      <w:r w:rsidRPr="007765B7">
        <w:rPr>
          <w:rFonts w:ascii="仿宋_GB2312" w:eastAsia="仿宋_GB2312" w:hAnsi="Calibri" w:hint="eastAsia"/>
          <w:sz w:val="28"/>
          <w:szCs w:val="28"/>
        </w:rPr>
        <w:lastRenderedPageBreak/>
        <w:t>材料认定证明材料；</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（四）质量保证管理体系证明；</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（五）境外产品委托代理单位申请的，需提供委托书。 符合《上海市建设工程材料管理条例》第二十二条规定的，可直接申领《上海市新型建设工程材料认定证书》（以下简称《认定证书》）。</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第四条　市市场管理总站对申请人提交的申请资料进行核对。申请资料齐全的，予以受理；不齐全的，应说明理由并当场退回。</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市市场管理总站对已受理申请事项是否符合认定范围进行初步审查，并在10个工作日内将初步审查意见及申请资料报市住房城乡建设管理委。</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第五条　市住房城乡建设管理委对申请资料进行审核，具备条件的，由委科技委开展技术评估。委科技委在20个工作日内将技术评估报告报送市住房城乡建设管理委。</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技术评估报告主要包括：认定范围符合情况、“节约土地、节约能源、科技含量高以及有利于保护环境”情况、新材料性能描述及工程应用情况、新材料性能指标及相关说明、新材料工程应用效果评价、新材料规模化应用可行性评价、评估委员会综合意见等内容。</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委科技委应按照客观、公正、科学的原则组织开展技术评估工作，有关专家管理遵照《上海市新型建设工程材料认定技术评估专家管理办法》（详见附件二）。</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第六条　市住房城乡建设管理</w:t>
      </w:r>
      <w:proofErr w:type="gramStart"/>
      <w:r w:rsidRPr="007765B7">
        <w:rPr>
          <w:rFonts w:ascii="仿宋_GB2312" w:eastAsia="仿宋_GB2312" w:hAnsi="Calibri" w:hint="eastAsia"/>
          <w:sz w:val="28"/>
          <w:szCs w:val="28"/>
        </w:rPr>
        <w:t>委依据</w:t>
      </w:r>
      <w:proofErr w:type="gramEnd"/>
      <w:r w:rsidRPr="007765B7">
        <w:rPr>
          <w:rFonts w:ascii="仿宋_GB2312" w:eastAsia="仿宋_GB2312" w:hAnsi="Calibri" w:hint="eastAsia"/>
          <w:sz w:val="28"/>
          <w:szCs w:val="28"/>
        </w:rPr>
        <w:t>技术评估报告意见等相关材料，在10个工作日内</w:t>
      </w:r>
      <w:proofErr w:type="gramStart"/>
      <w:r w:rsidRPr="007765B7">
        <w:rPr>
          <w:rFonts w:ascii="仿宋_GB2312" w:eastAsia="仿宋_GB2312" w:hAnsi="Calibri" w:hint="eastAsia"/>
          <w:sz w:val="28"/>
          <w:szCs w:val="28"/>
        </w:rPr>
        <w:t>作出</w:t>
      </w:r>
      <w:proofErr w:type="gramEnd"/>
      <w:r w:rsidRPr="007765B7">
        <w:rPr>
          <w:rFonts w:ascii="仿宋_GB2312" w:eastAsia="仿宋_GB2312" w:hAnsi="Calibri" w:hint="eastAsia"/>
          <w:sz w:val="28"/>
          <w:szCs w:val="28"/>
        </w:rPr>
        <w:t>认定决定。合格的，核发《认 定证书》；不合格的，不予发证。认定结果在市住房城乡建设管理委网站（http://jsjtw.sh.gov.cn）予以公布。</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《认定证书》有效期为两年，可续期一次。相关部门及协会等应积极编制相关标准。</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lastRenderedPageBreak/>
        <w:t xml:space="preserve">　　第七条　技术评估费用列入市住房城乡建设管理</w:t>
      </w:r>
      <w:proofErr w:type="gramStart"/>
      <w:r w:rsidRPr="007765B7">
        <w:rPr>
          <w:rFonts w:ascii="仿宋_GB2312" w:eastAsia="仿宋_GB2312" w:hAnsi="Calibri" w:hint="eastAsia"/>
          <w:sz w:val="28"/>
          <w:szCs w:val="28"/>
        </w:rPr>
        <w:t>委部门</w:t>
      </w:r>
      <w:proofErr w:type="gramEnd"/>
      <w:r w:rsidRPr="007765B7">
        <w:rPr>
          <w:rFonts w:ascii="仿宋_GB2312" w:eastAsia="仿宋_GB2312" w:hAnsi="Calibri" w:hint="eastAsia"/>
          <w:sz w:val="28"/>
          <w:szCs w:val="28"/>
        </w:rPr>
        <w:t>预算。市住房城乡建设管理委根据上年度新型建设工程材料认定情况，提出下一年度专项工作经费预算，编入部门预算。</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技术评估费用按每个项目不高于3万元控制，具体技术评 </w:t>
      </w:r>
      <w:proofErr w:type="gramStart"/>
      <w:r w:rsidRPr="007765B7">
        <w:rPr>
          <w:rFonts w:ascii="仿宋_GB2312" w:eastAsia="仿宋_GB2312" w:hAnsi="Calibri" w:hint="eastAsia"/>
          <w:sz w:val="28"/>
          <w:szCs w:val="28"/>
        </w:rPr>
        <w:t>估费用</w:t>
      </w:r>
      <w:proofErr w:type="gramEnd"/>
      <w:r w:rsidRPr="007765B7">
        <w:rPr>
          <w:rFonts w:ascii="仿宋_GB2312" w:eastAsia="仿宋_GB2312" w:hAnsi="Calibri" w:hint="eastAsia"/>
          <w:sz w:val="28"/>
          <w:szCs w:val="28"/>
        </w:rPr>
        <w:t>由委科技委另行制定相关管理办法。技术评估费用严格按照预算使用管理有关规定支付，原则上每季度结算一次。</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第八条　对申请事项原则上</w:t>
      </w:r>
      <w:proofErr w:type="gramStart"/>
      <w:r w:rsidRPr="007765B7">
        <w:rPr>
          <w:rFonts w:ascii="仿宋_GB2312" w:eastAsia="仿宋_GB2312" w:hAnsi="Calibri" w:hint="eastAsia"/>
          <w:sz w:val="28"/>
          <w:szCs w:val="28"/>
        </w:rPr>
        <w:t>仅开展</w:t>
      </w:r>
      <w:proofErr w:type="gramEnd"/>
      <w:r w:rsidRPr="007765B7">
        <w:rPr>
          <w:rFonts w:ascii="仿宋_GB2312" w:eastAsia="仿宋_GB2312" w:hAnsi="Calibri" w:hint="eastAsia"/>
          <w:sz w:val="28"/>
          <w:szCs w:val="28"/>
        </w:rPr>
        <w:t>一次技术评估，如申请人对申请事项进行调整完善后再次申请进行技术评估的，相关费用由申请人承担。</w:t>
      </w:r>
    </w:p>
    <w:p w:rsidR="007765B7" w:rsidRPr="007765B7" w:rsidRDefault="007765B7" w:rsidP="007765B7">
      <w:pPr>
        <w:spacing w:line="520" w:lineRule="exact"/>
        <w:rPr>
          <w:rFonts w:ascii="仿宋_GB2312" w:eastAsia="仿宋_GB2312" w:hAnsi="Calibri"/>
          <w:sz w:val="28"/>
          <w:szCs w:val="28"/>
        </w:rPr>
      </w:pPr>
      <w:r w:rsidRPr="007765B7">
        <w:rPr>
          <w:rFonts w:ascii="仿宋_GB2312" w:eastAsia="仿宋_GB2312" w:hAnsi="Calibri" w:hint="eastAsia"/>
          <w:sz w:val="28"/>
          <w:szCs w:val="28"/>
        </w:rPr>
        <w:t xml:space="preserve">　　第九条　新型建设工程材料认定过程中存在违法违规行为的，依据有关法律、法规予以处罚。</w:t>
      </w:r>
    </w:p>
    <w:p w:rsidR="007765B7" w:rsidRDefault="007765B7" w:rsidP="007765B7">
      <w:pPr>
        <w:spacing w:line="520" w:lineRule="exact"/>
        <w:ind w:firstLine="570"/>
        <w:rPr>
          <w:rFonts w:ascii="仿宋_GB2312" w:eastAsia="仿宋_GB2312" w:hAnsi="Calibri"/>
          <w:sz w:val="28"/>
          <w:szCs w:val="28"/>
        </w:rPr>
      </w:pPr>
      <w:r w:rsidRPr="007765B7">
        <w:rPr>
          <w:rFonts w:ascii="仿宋_GB2312" w:eastAsia="仿宋_GB2312" w:hAnsi="Calibri" w:hint="eastAsia"/>
          <w:sz w:val="28"/>
          <w:szCs w:val="28"/>
        </w:rPr>
        <w:t>第十条　本办法自2017年8月1日起生效，有效期至2022年8月1日。原《关于调整本市新型建设工程材料认定工作流程和费用支出事项的通知》（沪</w:t>
      </w:r>
      <w:proofErr w:type="gramStart"/>
      <w:r w:rsidRPr="007765B7">
        <w:rPr>
          <w:rFonts w:ascii="仿宋_GB2312" w:eastAsia="仿宋_GB2312" w:hAnsi="Calibri" w:hint="eastAsia"/>
          <w:sz w:val="28"/>
          <w:szCs w:val="28"/>
        </w:rPr>
        <w:t>建</w:t>
      </w:r>
      <w:proofErr w:type="gramEnd"/>
      <w:r w:rsidRPr="007765B7">
        <w:rPr>
          <w:rFonts w:ascii="仿宋_GB2312" w:eastAsia="仿宋_GB2312" w:hAnsi="Calibri" w:hint="eastAsia"/>
          <w:sz w:val="28"/>
          <w:szCs w:val="28"/>
        </w:rPr>
        <w:t>建材〔2016〕314号）、</w:t>
      </w:r>
      <w:proofErr w:type="gramStart"/>
      <w:r w:rsidRPr="007765B7">
        <w:rPr>
          <w:rFonts w:ascii="仿宋_GB2312" w:eastAsia="仿宋_GB2312" w:hAnsi="Calibri" w:hint="eastAsia"/>
          <w:sz w:val="28"/>
          <w:szCs w:val="28"/>
        </w:rPr>
        <w:t>《</w:t>
      </w:r>
      <w:proofErr w:type="gramEnd"/>
      <w:r w:rsidRPr="007765B7">
        <w:rPr>
          <w:rFonts w:ascii="仿宋_GB2312" w:eastAsia="仿宋_GB2312" w:hAnsi="Calibri" w:hint="eastAsia"/>
          <w:sz w:val="28"/>
          <w:szCs w:val="28"/>
        </w:rPr>
        <w:t>关 于调整本市新型建设工程材料认定和建设工程材料备案（商品砂浆）事项的通知（沪</w:t>
      </w:r>
      <w:proofErr w:type="gramStart"/>
      <w:r w:rsidRPr="007765B7">
        <w:rPr>
          <w:rFonts w:ascii="仿宋_GB2312" w:eastAsia="仿宋_GB2312" w:hAnsi="Calibri" w:hint="eastAsia"/>
          <w:sz w:val="28"/>
          <w:szCs w:val="28"/>
        </w:rPr>
        <w:t>建</w:t>
      </w:r>
      <w:proofErr w:type="gramEnd"/>
      <w:r w:rsidRPr="007765B7">
        <w:rPr>
          <w:rFonts w:ascii="仿宋_GB2312" w:eastAsia="仿宋_GB2312" w:hAnsi="Calibri" w:hint="eastAsia"/>
          <w:sz w:val="28"/>
          <w:szCs w:val="28"/>
        </w:rPr>
        <w:t>建材〔2014〕2号）同时废止。凡与本办法不相符的有关规定，以本办法为准。</w:t>
      </w:r>
    </w:p>
    <w:p w:rsidR="009D7A30" w:rsidRDefault="009D7A30" w:rsidP="00E50575">
      <w:pPr>
        <w:spacing w:line="520" w:lineRule="exact"/>
        <w:rPr>
          <w:rFonts w:ascii="仿宋_GB2312" w:eastAsia="仿宋_GB2312" w:hAnsi="Calibri"/>
          <w:sz w:val="28"/>
          <w:szCs w:val="28"/>
        </w:rPr>
      </w:pPr>
    </w:p>
    <w:p w:rsidR="009D7A30" w:rsidRDefault="00D439ED" w:rsidP="00E50575">
      <w:pPr>
        <w:spacing w:line="520" w:lineRule="exact"/>
        <w:rPr>
          <w:rFonts w:ascii="仿宋_GB2312" w:eastAsia="仿宋_GB2312" w:hAnsi="Calibri"/>
          <w:sz w:val="28"/>
          <w:szCs w:val="28"/>
        </w:rPr>
      </w:pPr>
      <w:r w:rsidRPr="00D439ED">
        <w:rPr>
          <w:rFonts w:ascii="仿宋_GB2312" w:eastAsia="仿宋_GB2312" w:hAnsi="Calibri" w:hint="eastAsia"/>
          <w:sz w:val="28"/>
          <w:szCs w:val="28"/>
        </w:rPr>
        <w:t>附件1</w:t>
      </w:r>
      <w:r w:rsidR="00E561BB">
        <w:rPr>
          <w:rFonts w:ascii="仿宋_GB2312" w:eastAsia="仿宋_GB2312" w:hAnsi="Calibri" w:hint="eastAsia"/>
          <w:sz w:val="28"/>
          <w:szCs w:val="28"/>
        </w:rPr>
        <w:t>：</w:t>
      </w:r>
    </w:p>
    <w:p w:rsidR="0076527D" w:rsidRDefault="00D439ED" w:rsidP="00691B1E">
      <w:pPr>
        <w:spacing w:line="520" w:lineRule="exact"/>
        <w:jc w:val="center"/>
        <w:rPr>
          <w:rFonts w:ascii="仿宋_GB2312" w:eastAsia="仿宋_GB2312" w:hAnsi="Calibri"/>
          <w:b/>
          <w:sz w:val="28"/>
          <w:szCs w:val="28"/>
        </w:rPr>
      </w:pPr>
      <w:r w:rsidRPr="009D7A30">
        <w:rPr>
          <w:rFonts w:ascii="仿宋_GB2312" w:eastAsia="仿宋_GB2312" w:hAnsi="Calibri" w:hint="eastAsia"/>
          <w:b/>
          <w:sz w:val="28"/>
          <w:szCs w:val="28"/>
        </w:rPr>
        <w:t>备案产品类别</w:t>
      </w:r>
    </w:p>
    <w:p w:rsidR="009D7A30" w:rsidRPr="009D7A30" w:rsidRDefault="009D7A30" w:rsidP="009D7A30">
      <w:pPr>
        <w:spacing w:line="520" w:lineRule="exact"/>
        <w:jc w:val="center"/>
        <w:rPr>
          <w:rFonts w:ascii="仿宋_GB2312" w:eastAsia="仿宋_GB2312" w:hAnsi="Calibri"/>
          <w:b/>
          <w:sz w:val="28"/>
          <w:szCs w:val="28"/>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5"/>
        <w:gridCol w:w="2682"/>
        <w:gridCol w:w="5308"/>
      </w:tblGrid>
      <w:tr w:rsidR="00D439ED" w:rsidTr="00D439ED">
        <w:trPr>
          <w:trHeight w:hRule="exact" w:val="612"/>
        </w:trPr>
        <w:tc>
          <w:tcPr>
            <w:tcW w:w="468" w:type="pct"/>
            <w:vAlign w:val="center"/>
          </w:tcPr>
          <w:p w:rsidR="00D439ED" w:rsidRPr="006F0ED6" w:rsidRDefault="00C06CAB" w:rsidP="00C06CAB">
            <w:pPr>
              <w:pStyle w:val="TableParagraph"/>
              <w:spacing w:before="73"/>
              <w:ind w:right="104"/>
              <w:jc w:val="center"/>
              <w:rPr>
                <w:sz w:val="23"/>
              </w:rPr>
            </w:pPr>
            <w:r>
              <w:rPr>
                <w:rFonts w:hint="eastAsia"/>
                <w:sz w:val="23"/>
                <w:lang w:eastAsia="zh-CN"/>
              </w:rPr>
              <w:t xml:space="preserve"> </w:t>
            </w:r>
            <w:proofErr w:type="spellStart"/>
            <w:r w:rsidR="00D439ED" w:rsidRPr="006F0ED6">
              <w:rPr>
                <w:sz w:val="23"/>
              </w:rPr>
              <w:t>序号</w:t>
            </w:r>
            <w:proofErr w:type="spellEnd"/>
          </w:p>
        </w:tc>
        <w:tc>
          <w:tcPr>
            <w:tcW w:w="1521" w:type="pct"/>
            <w:vAlign w:val="center"/>
          </w:tcPr>
          <w:p w:rsidR="00D439ED" w:rsidRPr="006F0ED6" w:rsidRDefault="00D439ED" w:rsidP="00C06CAB">
            <w:pPr>
              <w:pStyle w:val="TableParagraph"/>
              <w:spacing w:before="73"/>
              <w:jc w:val="center"/>
              <w:rPr>
                <w:sz w:val="23"/>
              </w:rPr>
            </w:pPr>
            <w:proofErr w:type="spellStart"/>
            <w:r w:rsidRPr="006F0ED6">
              <w:rPr>
                <w:sz w:val="23"/>
              </w:rPr>
              <w:t>备案产品大类</w:t>
            </w:r>
            <w:proofErr w:type="spellEnd"/>
          </w:p>
        </w:tc>
        <w:tc>
          <w:tcPr>
            <w:tcW w:w="3011" w:type="pct"/>
            <w:vAlign w:val="center"/>
          </w:tcPr>
          <w:p w:rsidR="00D439ED" w:rsidRPr="006F0ED6" w:rsidRDefault="00D439ED" w:rsidP="00C06CAB">
            <w:pPr>
              <w:pStyle w:val="TableParagraph"/>
              <w:spacing w:before="73"/>
              <w:jc w:val="center"/>
              <w:rPr>
                <w:sz w:val="23"/>
              </w:rPr>
            </w:pPr>
            <w:proofErr w:type="spellStart"/>
            <w:r w:rsidRPr="006F0ED6">
              <w:rPr>
                <w:sz w:val="23"/>
              </w:rPr>
              <w:t>备案产品类别</w:t>
            </w:r>
            <w:proofErr w:type="spellEnd"/>
          </w:p>
        </w:tc>
      </w:tr>
      <w:tr w:rsidR="00D439ED" w:rsidTr="00D439ED">
        <w:trPr>
          <w:trHeight w:hRule="exact" w:val="408"/>
        </w:trPr>
        <w:tc>
          <w:tcPr>
            <w:tcW w:w="468" w:type="pct"/>
            <w:vAlign w:val="center"/>
          </w:tcPr>
          <w:p w:rsidR="00D439ED" w:rsidRDefault="00D439ED" w:rsidP="00D439ED">
            <w:pPr>
              <w:pStyle w:val="TableParagraph"/>
              <w:ind w:right="2"/>
              <w:jc w:val="center"/>
              <w:rPr>
                <w:sz w:val="23"/>
              </w:rPr>
            </w:pPr>
            <w:r>
              <w:rPr>
                <w:sz w:val="23"/>
              </w:rPr>
              <w:t>1</w:t>
            </w:r>
          </w:p>
        </w:tc>
        <w:tc>
          <w:tcPr>
            <w:tcW w:w="1521" w:type="pct"/>
            <w:vAlign w:val="center"/>
          </w:tcPr>
          <w:p w:rsidR="00D439ED" w:rsidRDefault="00D439ED" w:rsidP="00D439ED">
            <w:pPr>
              <w:pStyle w:val="TableParagraph"/>
              <w:jc w:val="center"/>
              <w:rPr>
                <w:sz w:val="23"/>
              </w:rPr>
            </w:pPr>
            <w:proofErr w:type="spellStart"/>
            <w:r>
              <w:rPr>
                <w:sz w:val="23"/>
              </w:rPr>
              <w:t>建筑用钢材</w:t>
            </w:r>
            <w:proofErr w:type="spellEnd"/>
          </w:p>
        </w:tc>
        <w:tc>
          <w:tcPr>
            <w:tcW w:w="3011" w:type="pct"/>
            <w:vAlign w:val="center"/>
          </w:tcPr>
          <w:p w:rsidR="00D439ED" w:rsidRDefault="00D439ED" w:rsidP="00D439ED">
            <w:pPr>
              <w:pStyle w:val="TableParagraph"/>
              <w:jc w:val="center"/>
              <w:rPr>
                <w:sz w:val="23"/>
                <w:lang w:eastAsia="zh-CN"/>
              </w:rPr>
            </w:pPr>
            <w:r>
              <w:rPr>
                <w:sz w:val="23"/>
                <w:lang w:eastAsia="zh-CN"/>
              </w:rPr>
              <w:t>钢结构工程用钢（含高强度螺栓、焊接材料）</w:t>
            </w:r>
          </w:p>
        </w:tc>
      </w:tr>
      <w:tr w:rsidR="00D439ED" w:rsidTr="00D439ED">
        <w:trPr>
          <w:trHeight w:hRule="exact" w:val="408"/>
        </w:trPr>
        <w:tc>
          <w:tcPr>
            <w:tcW w:w="468" w:type="pct"/>
            <w:vMerge w:val="restart"/>
            <w:vAlign w:val="center"/>
          </w:tcPr>
          <w:p w:rsidR="00D439ED" w:rsidRDefault="00D439ED" w:rsidP="00E716C3">
            <w:pPr>
              <w:pStyle w:val="TableParagraph"/>
              <w:ind w:right="2"/>
              <w:jc w:val="center"/>
              <w:rPr>
                <w:sz w:val="23"/>
              </w:rPr>
            </w:pPr>
            <w:r>
              <w:rPr>
                <w:sz w:val="23"/>
              </w:rPr>
              <w:t>2</w:t>
            </w:r>
          </w:p>
        </w:tc>
        <w:tc>
          <w:tcPr>
            <w:tcW w:w="1521" w:type="pct"/>
            <w:vAlign w:val="center"/>
          </w:tcPr>
          <w:p w:rsidR="00D439ED" w:rsidRDefault="00D439ED" w:rsidP="00D439ED">
            <w:pPr>
              <w:pStyle w:val="TableParagraph"/>
              <w:jc w:val="center"/>
              <w:rPr>
                <w:sz w:val="23"/>
              </w:rPr>
            </w:pPr>
            <w:proofErr w:type="spellStart"/>
            <w:r>
              <w:rPr>
                <w:sz w:val="23"/>
              </w:rPr>
              <w:t>建筑用钢材</w:t>
            </w:r>
            <w:proofErr w:type="spellEnd"/>
          </w:p>
        </w:tc>
        <w:tc>
          <w:tcPr>
            <w:tcW w:w="3011" w:type="pct"/>
            <w:vAlign w:val="center"/>
          </w:tcPr>
          <w:p w:rsidR="00D439ED" w:rsidRDefault="00D439ED" w:rsidP="00D439ED">
            <w:pPr>
              <w:pStyle w:val="TableParagraph"/>
              <w:jc w:val="center"/>
              <w:rPr>
                <w:sz w:val="23"/>
                <w:lang w:eastAsia="zh-CN"/>
              </w:rPr>
            </w:pPr>
            <w:r>
              <w:rPr>
                <w:sz w:val="23"/>
                <w:lang w:eastAsia="zh-CN"/>
              </w:rPr>
              <w:t>钢筋混凝土结构用钢筋</w:t>
            </w:r>
          </w:p>
        </w:tc>
      </w:tr>
      <w:tr w:rsidR="00D439ED" w:rsidTr="00D439ED">
        <w:trPr>
          <w:trHeight w:hRule="exact" w:val="406"/>
        </w:trPr>
        <w:tc>
          <w:tcPr>
            <w:tcW w:w="468" w:type="pct"/>
            <w:vMerge/>
            <w:vAlign w:val="center"/>
          </w:tcPr>
          <w:p w:rsidR="00D439ED" w:rsidRDefault="00D439ED" w:rsidP="00D439ED">
            <w:pPr>
              <w:jc w:val="center"/>
              <w:rPr>
                <w:lang w:eastAsia="zh-CN"/>
              </w:rPr>
            </w:pPr>
          </w:p>
        </w:tc>
        <w:tc>
          <w:tcPr>
            <w:tcW w:w="1521" w:type="pct"/>
            <w:vAlign w:val="center"/>
          </w:tcPr>
          <w:p w:rsidR="00D439ED" w:rsidRDefault="00D439ED" w:rsidP="00D439ED">
            <w:pPr>
              <w:pStyle w:val="TableParagraph"/>
              <w:spacing w:before="7"/>
              <w:jc w:val="center"/>
              <w:rPr>
                <w:sz w:val="23"/>
              </w:rPr>
            </w:pPr>
            <w:proofErr w:type="spellStart"/>
            <w:r>
              <w:rPr>
                <w:sz w:val="23"/>
              </w:rPr>
              <w:t>建筑节能系统材料</w:t>
            </w:r>
            <w:proofErr w:type="spellEnd"/>
          </w:p>
        </w:tc>
        <w:tc>
          <w:tcPr>
            <w:tcW w:w="3011" w:type="pct"/>
            <w:vAlign w:val="center"/>
          </w:tcPr>
          <w:p w:rsidR="00D439ED" w:rsidRDefault="00D439ED" w:rsidP="00D439ED">
            <w:pPr>
              <w:pStyle w:val="TableParagraph"/>
              <w:spacing w:before="7"/>
              <w:jc w:val="center"/>
              <w:rPr>
                <w:sz w:val="23"/>
                <w:lang w:eastAsia="zh-CN"/>
              </w:rPr>
            </w:pPr>
            <w:r>
              <w:rPr>
                <w:sz w:val="23"/>
                <w:lang w:eastAsia="zh-CN"/>
              </w:rPr>
              <w:t>外墙保温系统、屋面保温材料</w:t>
            </w:r>
          </w:p>
        </w:tc>
      </w:tr>
      <w:tr w:rsidR="00D439ED" w:rsidTr="00D439ED">
        <w:trPr>
          <w:trHeight w:hRule="exact" w:val="408"/>
        </w:trPr>
        <w:tc>
          <w:tcPr>
            <w:tcW w:w="468" w:type="pct"/>
            <w:vMerge/>
            <w:vAlign w:val="center"/>
          </w:tcPr>
          <w:p w:rsidR="00D439ED" w:rsidRDefault="00D439ED" w:rsidP="00D439ED">
            <w:pPr>
              <w:jc w:val="center"/>
              <w:rPr>
                <w:lang w:eastAsia="zh-CN"/>
              </w:rPr>
            </w:pPr>
          </w:p>
        </w:tc>
        <w:tc>
          <w:tcPr>
            <w:tcW w:w="1521" w:type="pct"/>
            <w:vAlign w:val="center"/>
          </w:tcPr>
          <w:p w:rsidR="00D439ED" w:rsidRDefault="00D439ED" w:rsidP="00D439ED">
            <w:pPr>
              <w:pStyle w:val="TableParagraph"/>
              <w:jc w:val="center"/>
              <w:rPr>
                <w:sz w:val="23"/>
              </w:rPr>
            </w:pPr>
            <w:proofErr w:type="spellStart"/>
            <w:r>
              <w:rPr>
                <w:sz w:val="23"/>
              </w:rPr>
              <w:t>墙体材料</w:t>
            </w:r>
            <w:proofErr w:type="spellEnd"/>
          </w:p>
        </w:tc>
        <w:tc>
          <w:tcPr>
            <w:tcW w:w="3011" w:type="pct"/>
            <w:vAlign w:val="center"/>
          </w:tcPr>
          <w:p w:rsidR="00D439ED" w:rsidRDefault="00D439ED" w:rsidP="00D439ED">
            <w:pPr>
              <w:pStyle w:val="TableParagraph"/>
              <w:jc w:val="center"/>
              <w:rPr>
                <w:sz w:val="23"/>
              </w:rPr>
            </w:pPr>
            <w:proofErr w:type="spellStart"/>
            <w:r>
              <w:rPr>
                <w:sz w:val="23"/>
              </w:rPr>
              <w:t>砖、砌块、板</w:t>
            </w:r>
            <w:proofErr w:type="spellEnd"/>
          </w:p>
        </w:tc>
      </w:tr>
      <w:tr w:rsidR="00D439ED" w:rsidTr="00D439ED">
        <w:trPr>
          <w:trHeight w:hRule="exact" w:val="406"/>
        </w:trPr>
        <w:tc>
          <w:tcPr>
            <w:tcW w:w="468" w:type="pct"/>
            <w:vMerge w:val="restart"/>
            <w:vAlign w:val="center"/>
          </w:tcPr>
          <w:p w:rsidR="00D439ED" w:rsidRDefault="00D439ED" w:rsidP="00E716C3">
            <w:pPr>
              <w:pStyle w:val="TableParagraph"/>
              <w:ind w:right="2"/>
              <w:jc w:val="center"/>
              <w:rPr>
                <w:sz w:val="23"/>
              </w:rPr>
            </w:pPr>
            <w:r>
              <w:rPr>
                <w:sz w:val="23"/>
              </w:rPr>
              <w:t>3</w:t>
            </w:r>
          </w:p>
        </w:tc>
        <w:tc>
          <w:tcPr>
            <w:tcW w:w="1521" w:type="pct"/>
            <w:vAlign w:val="center"/>
          </w:tcPr>
          <w:p w:rsidR="00D439ED" w:rsidRDefault="00D439ED" w:rsidP="00D439ED">
            <w:pPr>
              <w:pStyle w:val="TableParagraph"/>
              <w:spacing w:before="7"/>
              <w:jc w:val="center"/>
              <w:rPr>
                <w:sz w:val="23"/>
              </w:rPr>
            </w:pPr>
            <w:proofErr w:type="spellStart"/>
            <w:r>
              <w:rPr>
                <w:sz w:val="23"/>
              </w:rPr>
              <w:t>商品混凝土</w:t>
            </w:r>
            <w:proofErr w:type="spellEnd"/>
          </w:p>
        </w:tc>
        <w:tc>
          <w:tcPr>
            <w:tcW w:w="3011" w:type="pct"/>
            <w:vAlign w:val="center"/>
          </w:tcPr>
          <w:p w:rsidR="00D439ED" w:rsidRDefault="00D439ED" w:rsidP="00D439ED">
            <w:pPr>
              <w:pStyle w:val="TableParagraph"/>
              <w:spacing w:before="7"/>
              <w:jc w:val="center"/>
              <w:rPr>
                <w:sz w:val="23"/>
                <w:lang w:eastAsia="zh-CN"/>
              </w:rPr>
            </w:pPr>
            <w:r>
              <w:rPr>
                <w:sz w:val="23"/>
                <w:lang w:eastAsia="zh-CN"/>
              </w:rPr>
              <w:t>商品混凝土、混凝土外加剂</w:t>
            </w:r>
          </w:p>
        </w:tc>
      </w:tr>
      <w:tr w:rsidR="00D439ED" w:rsidTr="00D439ED">
        <w:trPr>
          <w:trHeight w:hRule="exact" w:val="409"/>
        </w:trPr>
        <w:tc>
          <w:tcPr>
            <w:tcW w:w="468" w:type="pct"/>
            <w:vMerge/>
            <w:vAlign w:val="center"/>
          </w:tcPr>
          <w:p w:rsidR="00D439ED" w:rsidRDefault="00D439ED" w:rsidP="00D439ED">
            <w:pPr>
              <w:jc w:val="center"/>
              <w:rPr>
                <w:lang w:eastAsia="zh-CN"/>
              </w:rPr>
            </w:pPr>
          </w:p>
        </w:tc>
        <w:tc>
          <w:tcPr>
            <w:tcW w:w="1521" w:type="pct"/>
            <w:vAlign w:val="center"/>
          </w:tcPr>
          <w:p w:rsidR="00D439ED" w:rsidRDefault="00D439ED" w:rsidP="00D439ED">
            <w:pPr>
              <w:pStyle w:val="TableParagraph"/>
              <w:spacing w:before="10"/>
              <w:jc w:val="center"/>
              <w:rPr>
                <w:sz w:val="23"/>
              </w:rPr>
            </w:pPr>
            <w:proofErr w:type="spellStart"/>
            <w:r>
              <w:rPr>
                <w:sz w:val="23"/>
              </w:rPr>
              <w:t>预拌砂浆</w:t>
            </w:r>
            <w:proofErr w:type="spellEnd"/>
          </w:p>
        </w:tc>
        <w:tc>
          <w:tcPr>
            <w:tcW w:w="3011" w:type="pct"/>
            <w:vAlign w:val="center"/>
          </w:tcPr>
          <w:p w:rsidR="00D439ED" w:rsidRDefault="00D439ED" w:rsidP="00D439ED">
            <w:pPr>
              <w:pStyle w:val="TableParagraph"/>
              <w:spacing w:before="10"/>
              <w:jc w:val="center"/>
              <w:rPr>
                <w:sz w:val="23"/>
              </w:rPr>
            </w:pPr>
            <w:proofErr w:type="spellStart"/>
            <w:r>
              <w:rPr>
                <w:sz w:val="23"/>
              </w:rPr>
              <w:t>预拌砂浆</w:t>
            </w:r>
            <w:proofErr w:type="spellEnd"/>
          </w:p>
        </w:tc>
      </w:tr>
      <w:tr w:rsidR="00D439ED" w:rsidTr="00D439ED">
        <w:trPr>
          <w:trHeight w:hRule="exact" w:val="607"/>
        </w:trPr>
        <w:tc>
          <w:tcPr>
            <w:tcW w:w="468" w:type="pct"/>
            <w:vAlign w:val="center"/>
          </w:tcPr>
          <w:p w:rsidR="00D439ED" w:rsidRDefault="00D439ED" w:rsidP="00E716C3">
            <w:pPr>
              <w:pStyle w:val="TableParagraph"/>
              <w:spacing w:before="108"/>
              <w:ind w:right="2"/>
              <w:jc w:val="center"/>
              <w:rPr>
                <w:sz w:val="23"/>
              </w:rPr>
            </w:pPr>
            <w:r>
              <w:rPr>
                <w:sz w:val="23"/>
              </w:rPr>
              <w:t>4</w:t>
            </w:r>
          </w:p>
        </w:tc>
        <w:tc>
          <w:tcPr>
            <w:tcW w:w="1521" w:type="pct"/>
            <w:vAlign w:val="center"/>
          </w:tcPr>
          <w:p w:rsidR="00D439ED" w:rsidRDefault="00D439ED" w:rsidP="00D439ED">
            <w:pPr>
              <w:pStyle w:val="TableParagraph"/>
              <w:spacing w:before="108"/>
              <w:jc w:val="center"/>
              <w:rPr>
                <w:sz w:val="23"/>
              </w:rPr>
            </w:pPr>
            <w:proofErr w:type="spellStart"/>
            <w:r>
              <w:rPr>
                <w:sz w:val="23"/>
              </w:rPr>
              <w:t>混凝土构件</w:t>
            </w:r>
            <w:proofErr w:type="spellEnd"/>
          </w:p>
        </w:tc>
        <w:tc>
          <w:tcPr>
            <w:tcW w:w="3011" w:type="pct"/>
            <w:vAlign w:val="center"/>
          </w:tcPr>
          <w:p w:rsidR="00D439ED" w:rsidRDefault="00D439ED" w:rsidP="00D439ED">
            <w:pPr>
              <w:pStyle w:val="TableParagraph"/>
              <w:spacing w:line="259" w:lineRule="exact"/>
              <w:jc w:val="center"/>
              <w:rPr>
                <w:sz w:val="23"/>
                <w:lang w:eastAsia="zh-CN"/>
              </w:rPr>
            </w:pPr>
            <w:r>
              <w:rPr>
                <w:sz w:val="23"/>
                <w:lang w:eastAsia="zh-CN"/>
              </w:rPr>
              <w:t>装配式建筑混凝土预制构件及配件、预制桩、预制混凝土衬砌管片</w:t>
            </w:r>
          </w:p>
        </w:tc>
      </w:tr>
      <w:tr w:rsidR="00D439ED" w:rsidTr="00D439ED">
        <w:trPr>
          <w:trHeight w:hRule="exact" w:val="406"/>
        </w:trPr>
        <w:tc>
          <w:tcPr>
            <w:tcW w:w="468" w:type="pct"/>
            <w:vMerge w:val="restart"/>
            <w:vAlign w:val="center"/>
          </w:tcPr>
          <w:p w:rsidR="00D439ED" w:rsidRDefault="00D439ED" w:rsidP="00E716C3">
            <w:pPr>
              <w:pStyle w:val="TableParagraph"/>
              <w:ind w:right="2"/>
              <w:jc w:val="center"/>
              <w:rPr>
                <w:sz w:val="23"/>
              </w:rPr>
            </w:pPr>
            <w:r>
              <w:rPr>
                <w:sz w:val="23"/>
              </w:rPr>
              <w:lastRenderedPageBreak/>
              <w:t>5</w:t>
            </w:r>
          </w:p>
        </w:tc>
        <w:tc>
          <w:tcPr>
            <w:tcW w:w="1521" w:type="pct"/>
            <w:vAlign w:val="center"/>
          </w:tcPr>
          <w:p w:rsidR="00D439ED" w:rsidRDefault="00D439ED" w:rsidP="00D439ED">
            <w:pPr>
              <w:pStyle w:val="TableParagraph"/>
              <w:spacing w:before="7"/>
              <w:jc w:val="center"/>
              <w:rPr>
                <w:sz w:val="23"/>
              </w:rPr>
            </w:pPr>
            <w:proofErr w:type="spellStart"/>
            <w:r>
              <w:rPr>
                <w:sz w:val="23"/>
              </w:rPr>
              <w:t>管道</w:t>
            </w:r>
            <w:proofErr w:type="spellEnd"/>
          </w:p>
        </w:tc>
        <w:tc>
          <w:tcPr>
            <w:tcW w:w="3011" w:type="pct"/>
            <w:vAlign w:val="center"/>
          </w:tcPr>
          <w:p w:rsidR="00D439ED" w:rsidRDefault="00D439ED" w:rsidP="00D439ED">
            <w:pPr>
              <w:pStyle w:val="TableParagraph"/>
              <w:spacing w:before="7"/>
              <w:jc w:val="center"/>
              <w:rPr>
                <w:sz w:val="23"/>
                <w:lang w:eastAsia="zh-CN"/>
              </w:rPr>
            </w:pPr>
            <w:r>
              <w:rPr>
                <w:sz w:val="23"/>
                <w:lang w:eastAsia="zh-CN"/>
              </w:rPr>
              <w:t>给水管、排水管、电工套管</w:t>
            </w:r>
          </w:p>
        </w:tc>
      </w:tr>
      <w:tr w:rsidR="00D439ED" w:rsidTr="00D439ED">
        <w:trPr>
          <w:trHeight w:hRule="exact" w:val="408"/>
        </w:trPr>
        <w:tc>
          <w:tcPr>
            <w:tcW w:w="468" w:type="pct"/>
            <w:vMerge/>
            <w:vAlign w:val="center"/>
          </w:tcPr>
          <w:p w:rsidR="00D439ED" w:rsidRDefault="00D439ED" w:rsidP="00D439ED">
            <w:pPr>
              <w:jc w:val="center"/>
              <w:rPr>
                <w:lang w:eastAsia="zh-CN"/>
              </w:rPr>
            </w:pPr>
          </w:p>
        </w:tc>
        <w:tc>
          <w:tcPr>
            <w:tcW w:w="1521" w:type="pct"/>
            <w:vAlign w:val="center"/>
          </w:tcPr>
          <w:p w:rsidR="00D439ED" w:rsidRDefault="00D439ED" w:rsidP="00D439ED">
            <w:pPr>
              <w:pStyle w:val="TableParagraph"/>
              <w:jc w:val="center"/>
              <w:rPr>
                <w:sz w:val="23"/>
              </w:rPr>
            </w:pPr>
            <w:proofErr w:type="spellStart"/>
            <w:r>
              <w:rPr>
                <w:sz w:val="23"/>
              </w:rPr>
              <w:t>建筑涂料</w:t>
            </w:r>
            <w:proofErr w:type="spellEnd"/>
          </w:p>
        </w:tc>
        <w:tc>
          <w:tcPr>
            <w:tcW w:w="3011" w:type="pct"/>
            <w:vAlign w:val="center"/>
          </w:tcPr>
          <w:p w:rsidR="00D439ED" w:rsidRDefault="00D439ED" w:rsidP="00D439ED">
            <w:pPr>
              <w:pStyle w:val="TableParagraph"/>
              <w:jc w:val="center"/>
              <w:rPr>
                <w:sz w:val="23"/>
              </w:rPr>
            </w:pPr>
            <w:proofErr w:type="spellStart"/>
            <w:r>
              <w:rPr>
                <w:sz w:val="23"/>
              </w:rPr>
              <w:t>建筑涂料</w:t>
            </w:r>
            <w:proofErr w:type="spellEnd"/>
          </w:p>
        </w:tc>
      </w:tr>
      <w:tr w:rsidR="00D439ED" w:rsidTr="00D439ED">
        <w:trPr>
          <w:trHeight w:hRule="exact" w:val="406"/>
        </w:trPr>
        <w:tc>
          <w:tcPr>
            <w:tcW w:w="468" w:type="pct"/>
            <w:vMerge/>
            <w:vAlign w:val="center"/>
          </w:tcPr>
          <w:p w:rsidR="00D439ED" w:rsidRDefault="00D439ED" w:rsidP="00D439ED">
            <w:pPr>
              <w:jc w:val="center"/>
            </w:pPr>
          </w:p>
        </w:tc>
        <w:tc>
          <w:tcPr>
            <w:tcW w:w="1521" w:type="pct"/>
            <w:vAlign w:val="center"/>
          </w:tcPr>
          <w:p w:rsidR="00D439ED" w:rsidRDefault="00D439ED" w:rsidP="00D439ED">
            <w:pPr>
              <w:pStyle w:val="TableParagraph"/>
              <w:jc w:val="center"/>
              <w:rPr>
                <w:sz w:val="23"/>
              </w:rPr>
            </w:pPr>
            <w:proofErr w:type="spellStart"/>
            <w:r>
              <w:rPr>
                <w:sz w:val="23"/>
              </w:rPr>
              <w:t>建筑粘结材料</w:t>
            </w:r>
            <w:proofErr w:type="spellEnd"/>
          </w:p>
        </w:tc>
        <w:tc>
          <w:tcPr>
            <w:tcW w:w="3011" w:type="pct"/>
            <w:vAlign w:val="center"/>
          </w:tcPr>
          <w:p w:rsidR="00D439ED" w:rsidRDefault="00D439ED" w:rsidP="00D439ED">
            <w:pPr>
              <w:pStyle w:val="TableParagraph"/>
              <w:jc w:val="center"/>
              <w:rPr>
                <w:sz w:val="23"/>
              </w:rPr>
            </w:pPr>
            <w:proofErr w:type="spellStart"/>
            <w:r>
              <w:rPr>
                <w:sz w:val="23"/>
              </w:rPr>
              <w:t>胶凝剂、密封材料</w:t>
            </w:r>
            <w:proofErr w:type="spellEnd"/>
          </w:p>
        </w:tc>
      </w:tr>
      <w:tr w:rsidR="00D439ED" w:rsidTr="00D439ED">
        <w:trPr>
          <w:trHeight w:hRule="exact" w:val="408"/>
        </w:trPr>
        <w:tc>
          <w:tcPr>
            <w:tcW w:w="468" w:type="pct"/>
            <w:vMerge/>
            <w:vAlign w:val="center"/>
          </w:tcPr>
          <w:p w:rsidR="00D439ED" w:rsidRDefault="00D439ED" w:rsidP="00D439ED">
            <w:pPr>
              <w:jc w:val="center"/>
            </w:pPr>
          </w:p>
        </w:tc>
        <w:tc>
          <w:tcPr>
            <w:tcW w:w="1521" w:type="pct"/>
            <w:vAlign w:val="center"/>
          </w:tcPr>
          <w:p w:rsidR="00D439ED" w:rsidRDefault="00D439ED" w:rsidP="00D439ED">
            <w:pPr>
              <w:pStyle w:val="TableParagraph"/>
              <w:jc w:val="center"/>
              <w:rPr>
                <w:sz w:val="23"/>
              </w:rPr>
            </w:pPr>
            <w:proofErr w:type="spellStart"/>
            <w:r>
              <w:rPr>
                <w:sz w:val="23"/>
              </w:rPr>
              <w:t>防水材料</w:t>
            </w:r>
            <w:proofErr w:type="spellEnd"/>
          </w:p>
        </w:tc>
        <w:tc>
          <w:tcPr>
            <w:tcW w:w="3011" w:type="pct"/>
            <w:vAlign w:val="center"/>
          </w:tcPr>
          <w:p w:rsidR="00D439ED" w:rsidRDefault="00D439ED" w:rsidP="00D439ED">
            <w:pPr>
              <w:pStyle w:val="TableParagraph"/>
              <w:jc w:val="center"/>
              <w:rPr>
                <w:sz w:val="23"/>
              </w:rPr>
            </w:pPr>
            <w:proofErr w:type="spellStart"/>
            <w:r>
              <w:rPr>
                <w:sz w:val="23"/>
              </w:rPr>
              <w:t>防水卷材、防水涂料、其他防水材料</w:t>
            </w:r>
            <w:proofErr w:type="spellEnd"/>
          </w:p>
        </w:tc>
      </w:tr>
      <w:tr w:rsidR="00D439ED" w:rsidTr="00D439ED">
        <w:trPr>
          <w:trHeight w:hRule="exact" w:val="408"/>
        </w:trPr>
        <w:tc>
          <w:tcPr>
            <w:tcW w:w="468" w:type="pct"/>
            <w:vAlign w:val="center"/>
          </w:tcPr>
          <w:p w:rsidR="00D439ED" w:rsidRDefault="00D439ED" w:rsidP="00D439ED">
            <w:pPr>
              <w:pStyle w:val="TableParagraph"/>
              <w:ind w:right="2"/>
              <w:jc w:val="center"/>
              <w:rPr>
                <w:sz w:val="23"/>
              </w:rPr>
            </w:pPr>
            <w:r>
              <w:rPr>
                <w:sz w:val="23"/>
              </w:rPr>
              <w:t>6</w:t>
            </w:r>
          </w:p>
        </w:tc>
        <w:tc>
          <w:tcPr>
            <w:tcW w:w="1521" w:type="pct"/>
            <w:vAlign w:val="center"/>
          </w:tcPr>
          <w:p w:rsidR="00D439ED" w:rsidRDefault="00D439ED" w:rsidP="00D439ED">
            <w:pPr>
              <w:pStyle w:val="TableParagraph"/>
              <w:jc w:val="center"/>
              <w:rPr>
                <w:sz w:val="23"/>
              </w:rPr>
            </w:pPr>
            <w:proofErr w:type="spellStart"/>
            <w:r>
              <w:rPr>
                <w:sz w:val="23"/>
              </w:rPr>
              <w:t>建筑用石材</w:t>
            </w:r>
            <w:proofErr w:type="spellEnd"/>
          </w:p>
        </w:tc>
        <w:tc>
          <w:tcPr>
            <w:tcW w:w="3011" w:type="pct"/>
            <w:vAlign w:val="center"/>
          </w:tcPr>
          <w:p w:rsidR="00D439ED" w:rsidRDefault="00D439ED" w:rsidP="00D439ED">
            <w:pPr>
              <w:pStyle w:val="TableParagraph"/>
              <w:jc w:val="center"/>
              <w:rPr>
                <w:sz w:val="23"/>
                <w:lang w:eastAsia="zh-CN"/>
              </w:rPr>
            </w:pPr>
            <w:r>
              <w:rPr>
                <w:sz w:val="23"/>
                <w:lang w:eastAsia="zh-CN"/>
              </w:rPr>
              <w:t>建筑用石、饰面石材、再生骨料、再生粉料</w:t>
            </w:r>
          </w:p>
        </w:tc>
      </w:tr>
      <w:tr w:rsidR="00D439ED" w:rsidTr="00D439ED">
        <w:trPr>
          <w:trHeight w:hRule="exact" w:val="406"/>
        </w:trPr>
        <w:tc>
          <w:tcPr>
            <w:tcW w:w="468" w:type="pct"/>
            <w:vAlign w:val="center"/>
          </w:tcPr>
          <w:p w:rsidR="00D439ED" w:rsidRDefault="00D439ED" w:rsidP="00D439ED">
            <w:pPr>
              <w:pStyle w:val="TableParagraph"/>
              <w:spacing w:before="7"/>
              <w:ind w:right="2"/>
              <w:jc w:val="center"/>
              <w:rPr>
                <w:sz w:val="23"/>
              </w:rPr>
            </w:pPr>
            <w:r>
              <w:rPr>
                <w:sz w:val="23"/>
              </w:rPr>
              <w:t>7</w:t>
            </w:r>
          </w:p>
        </w:tc>
        <w:tc>
          <w:tcPr>
            <w:tcW w:w="1521" w:type="pct"/>
            <w:vAlign w:val="center"/>
          </w:tcPr>
          <w:p w:rsidR="00D439ED" w:rsidRDefault="00D439ED" w:rsidP="00D439ED">
            <w:pPr>
              <w:pStyle w:val="TableParagraph"/>
              <w:spacing w:before="7"/>
              <w:jc w:val="center"/>
              <w:rPr>
                <w:sz w:val="23"/>
              </w:rPr>
            </w:pPr>
            <w:proofErr w:type="spellStart"/>
            <w:r>
              <w:rPr>
                <w:sz w:val="23"/>
              </w:rPr>
              <w:t>水泥</w:t>
            </w:r>
            <w:proofErr w:type="spellEnd"/>
          </w:p>
        </w:tc>
        <w:tc>
          <w:tcPr>
            <w:tcW w:w="3011" w:type="pct"/>
            <w:vAlign w:val="center"/>
          </w:tcPr>
          <w:p w:rsidR="00D439ED" w:rsidRDefault="00D439ED" w:rsidP="00D439ED">
            <w:pPr>
              <w:pStyle w:val="TableParagraph"/>
              <w:spacing w:before="7"/>
              <w:jc w:val="center"/>
              <w:rPr>
                <w:sz w:val="23"/>
                <w:lang w:eastAsia="zh-CN"/>
              </w:rPr>
            </w:pPr>
            <w:r>
              <w:rPr>
                <w:sz w:val="23"/>
                <w:lang w:eastAsia="zh-CN"/>
              </w:rPr>
              <w:t>水泥</w:t>
            </w:r>
            <w:r>
              <w:rPr>
                <w:sz w:val="23"/>
                <w:lang w:eastAsia="zh-CN"/>
              </w:rPr>
              <w:t>(</w:t>
            </w:r>
            <w:r>
              <w:rPr>
                <w:sz w:val="23"/>
                <w:lang w:eastAsia="zh-CN"/>
              </w:rPr>
              <w:t>含中转散装水泥</w:t>
            </w:r>
            <w:r>
              <w:rPr>
                <w:sz w:val="23"/>
                <w:lang w:eastAsia="zh-CN"/>
              </w:rPr>
              <w:t>)</w:t>
            </w:r>
            <w:r>
              <w:rPr>
                <w:sz w:val="23"/>
                <w:lang w:eastAsia="zh-CN"/>
              </w:rPr>
              <w:t>、混凝土掺合料</w:t>
            </w:r>
          </w:p>
        </w:tc>
      </w:tr>
      <w:tr w:rsidR="00D439ED" w:rsidTr="00D439ED">
        <w:trPr>
          <w:trHeight w:hRule="exact" w:val="408"/>
        </w:trPr>
        <w:tc>
          <w:tcPr>
            <w:tcW w:w="468" w:type="pct"/>
            <w:vAlign w:val="center"/>
          </w:tcPr>
          <w:p w:rsidR="00D439ED" w:rsidRDefault="00D439ED" w:rsidP="00D439ED">
            <w:pPr>
              <w:pStyle w:val="TableParagraph"/>
              <w:spacing w:before="10"/>
              <w:ind w:right="2"/>
              <w:jc w:val="center"/>
              <w:rPr>
                <w:sz w:val="23"/>
              </w:rPr>
            </w:pPr>
            <w:r>
              <w:rPr>
                <w:sz w:val="23"/>
              </w:rPr>
              <w:t>8</w:t>
            </w:r>
          </w:p>
        </w:tc>
        <w:tc>
          <w:tcPr>
            <w:tcW w:w="1521" w:type="pct"/>
            <w:vAlign w:val="center"/>
          </w:tcPr>
          <w:p w:rsidR="00D439ED" w:rsidRDefault="00D439ED" w:rsidP="00D439ED">
            <w:pPr>
              <w:pStyle w:val="TableParagraph"/>
              <w:spacing w:before="10"/>
              <w:jc w:val="center"/>
              <w:rPr>
                <w:sz w:val="23"/>
              </w:rPr>
            </w:pPr>
            <w:proofErr w:type="spellStart"/>
            <w:r>
              <w:rPr>
                <w:sz w:val="23"/>
              </w:rPr>
              <w:t>建筑门窗</w:t>
            </w:r>
            <w:proofErr w:type="spellEnd"/>
          </w:p>
        </w:tc>
        <w:tc>
          <w:tcPr>
            <w:tcW w:w="3011" w:type="pct"/>
            <w:vAlign w:val="center"/>
          </w:tcPr>
          <w:p w:rsidR="00D439ED" w:rsidRDefault="00D439ED" w:rsidP="00D439ED">
            <w:pPr>
              <w:pStyle w:val="TableParagraph"/>
              <w:spacing w:before="10"/>
              <w:jc w:val="center"/>
              <w:rPr>
                <w:sz w:val="23"/>
              </w:rPr>
            </w:pPr>
            <w:proofErr w:type="spellStart"/>
            <w:r>
              <w:rPr>
                <w:sz w:val="23"/>
              </w:rPr>
              <w:t>建筑门窗</w:t>
            </w:r>
            <w:proofErr w:type="spellEnd"/>
          </w:p>
        </w:tc>
      </w:tr>
      <w:tr w:rsidR="00D439ED" w:rsidTr="00D439ED">
        <w:trPr>
          <w:trHeight w:hRule="exact" w:val="605"/>
        </w:trPr>
        <w:tc>
          <w:tcPr>
            <w:tcW w:w="468" w:type="pct"/>
            <w:vAlign w:val="center"/>
          </w:tcPr>
          <w:p w:rsidR="00D439ED" w:rsidRDefault="00D439ED" w:rsidP="00E716C3">
            <w:pPr>
              <w:pStyle w:val="TableParagraph"/>
              <w:spacing w:before="108"/>
              <w:ind w:right="2"/>
              <w:jc w:val="center"/>
              <w:rPr>
                <w:sz w:val="23"/>
              </w:rPr>
            </w:pPr>
            <w:r>
              <w:rPr>
                <w:sz w:val="23"/>
              </w:rPr>
              <w:t>9</w:t>
            </w:r>
          </w:p>
        </w:tc>
        <w:tc>
          <w:tcPr>
            <w:tcW w:w="1521" w:type="pct"/>
            <w:vAlign w:val="center"/>
          </w:tcPr>
          <w:p w:rsidR="00D439ED" w:rsidRDefault="00D439ED" w:rsidP="00D439ED">
            <w:pPr>
              <w:pStyle w:val="TableParagraph"/>
              <w:spacing w:before="108"/>
              <w:jc w:val="center"/>
              <w:rPr>
                <w:sz w:val="23"/>
              </w:rPr>
            </w:pPr>
            <w:proofErr w:type="spellStart"/>
            <w:r>
              <w:rPr>
                <w:sz w:val="23"/>
              </w:rPr>
              <w:t>玻璃</w:t>
            </w:r>
            <w:proofErr w:type="spellEnd"/>
          </w:p>
        </w:tc>
        <w:tc>
          <w:tcPr>
            <w:tcW w:w="3011" w:type="pct"/>
            <w:vAlign w:val="center"/>
          </w:tcPr>
          <w:p w:rsidR="00D439ED" w:rsidRDefault="00D439ED" w:rsidP="00D439ED">
            <w:pPr>
              <w:pStyle w:val="TableParagraph"/>
              <w:spacing w:line="259" w:lineRule="exact"/>
              <w:ind w:right="-15"/>
              <w:jc w:val="center"/>
              <w:rPr>
                <w:sz w:val="23"/>
                <w:lang w:eastAsia="zh-CN"/>
              </w:rPr>
            </w:pPr>
            <w:r>
              <w:rPr>
                <w:spacing w:val="-9"/>
                <w:sz w:val="23"/>
                <w:lang w:eastAsia="zh-CN"/>
              </w:rPr>
              <w:t>建筑玻璃</w:t>
            </w:r>
            <w:r>
              <w:rPr>
                <w:sz w:val="23"/>
                <w:lang w:eastAsia="zh-CN"/>
              </w:rPr>
              <w:t>（</w:t>
            </w:r>
            <w:r>
              <w:rPr>
                <w:spacing w:val="-11"/>
                <w:sz w:val="23"/>
                <w:lang w:eastAsia="zh-CN"/>
              </w:rPr>
              <w:t>含干燥剂、间隔条、</w:t>
            </w:r>
            <w:r>
              <w:rPr>
                <w:sz w:val="23"/>
                <w:lang w:eastAsia="zh-CN"/>
              </w:rPr>
              <w:t>3A</w:t>
            </w:r>
            <w:r>
              <w:rPr>
                <w:spacing w:val="-7"/>
                <w:sz w:val="23"/>
                <w:lang w:eastAsia="zh-CN"/>
              </w:rPr>
              <w:t>分子筛、功能膜、</w:t>
            </w:r>
            <w:r>
              <w:rPr>
                <w:sz w:val="23"/>
                <w:lang w:eastAsia="zh-CN"/>
              </w:rPr>
              <w:t>胶片）</w:t>
            </w:r>
          </w:p>
        </w:tc>
      </w:tr>
      <w:tr w:rsidR="00D439ED" w:rsidTr="00D439ED">
        <w:trPr>
          <w:trHeight w:hRule="exact" w:val="408"/>
        </w:trPr>
        <w:tc>
          <w:tcPr>
            <w:tcW w:w="468" w:type="pct"/>
            <w:vMerge w:val="restart"/>
            <w:vAlign w:val="center"/>
          </w:tcPr>
          <w:p w:rsidR="00D439ED" w:rsidRDefault="00D439ED" w:rsidP="00D439ED">
            <w:pPr>
              <w:pStyle w:val="TableParagraph"/>
              <w:spacing w:before="5"/>
              <w:ind w:firstLine="281"/>
              <w:jc w:val="center"/>
              <w:rPr>
                <w:rFonts w:ascii="华文中宋"/>
                <w:b/>
                <w:sz w:val="14"/>
                <w:lang w:eastAsia="zh-CN"/>
              </w:rPr>
            </w:pPr>
          </w:p>
          <w:p w:rsidR="00D439ED" w:rsidRDefault="00D439ED" w:rsidP="00D439ED">
            <w:pPr>
              <w:pStyle w:val="TableParagraph"/>
              <w:ind w:left="102" w:right="104"/>
              <w:jc w:val="center"/>
              <w:rPr>
                <w:sz w:val="23"/>
              </w:rPr>
            </w:pPr>
            <w:r>
              <w:rPr>
                <w:sz w:val="23"/>
              </w:rPr>
              <w:t>10</w:t>
            </w:r>
          </w:p>
        </w:tc>
        <w:tc>
          <w:tcPr>
            <w:tcW w:w="1521" w:type="pct"/>
            <w:vAlign w:val="center"/>
          </w:tcPr>
          <w:p w:rsidR="00D439ED" w:rsidRDefault="00D439ED" w:rsidP="00D439ED">
            <w:pPr>
              <w:pStyle w:val="TableParagraph"/>
              <w:jc w:val="center"/>
              <w:rPr>
                <w:sz w:val="23"/>
              </w:rPr>
            </w:pPr>
            <w:proofErr w:type="spellStart"/>
            <w:r>
              <w:rPr>
                <w:sz w:val="23"/>
              </w:rPr>
              <w:t>建筑幕墙</w:t>
            </w:r>
            <w:proofErr w:type="spellEnd"/>
          </w:p>
        </w:tc>
        <w:tc>
          <w:tcPr>
            <w:tcW w:w="3011" w:type="pct"/>
            <w:vAlign w:val="center"/>
          </w:tcPr>
          <w:p w:rsidR="00D439ED" w:rsidRDefault="00D439ED" w:rsidP="00D439ED">
            <w:pPr>
              <w:pStyle w:val="TableParagraph"/>
              <w:jc w:val="center"/>
              <w:rPr>
                <w:sz w:val="23"/>
                <w:lang w:eastAsia="zh-CN"/>
              </w:rPr>
            </w:pPr>
            <w:r>
              <w:rPr>
                <w:sz w:val="23"/>
                <w:lang w:eastAsia="zh-CN"/>
              </w:rPr>
              <w:t>建筑幕墙（含面板、幕墙铝合金型材）</w:t>
            </w:r>
          </w:p>
        </w:tc>
      </w:tr>
      <w:tr w:rsidR="00D439ED" w:rsidTr="00D439ED">
        <w:trPr>
          <w:trHeight w:hRule="exact" w:val="408"/>
        </w:trPr>
        <w:tc>
          <w:tcPr>
            <w:tcW w:w="468" w:type="pct"/>
            <w:vMerge/>
            <w:vAlign w:val="center"/>
          </w:tcPr>
          <w:p w:rsidR="00D439ED" w:rsidRDefault="00D439ED" w:rsidP="00D439ED">
            <w:pPr>
              <w:jc w:val="center"/>
              <w:rPr>
                <w:lang w:eastAsia="zh-CN"/>
              </w:rPr>
            </w:pPr>
          </w:p>
        </w:tc>
        <w:tc>
          <w:tcPr>
            <w:tcW w:w="1521" w:type="pct"/>
            <w:vAlign w:val="center"/>
          </w:tcPr>
          <w:p w:rsidR="00D439ED" w:rsidRDefault="00D439ED" w:rsidP="00D439ED">
            <w:pPr>
              <w:pStyle w:val="TableParagraph"/>
              <w:jc w:val="center"/>
              <w:rPr>
                <w:sz w:val="23"/>
              </w:rPr>
            </w:pPr>
            <w:proofErr w:type="spellStart"/>
            <w:r>
              <w:rPr>
                <w:sz w:val="23"/>
              </w:rPr>
              <w:t>建筑遮阳</w:t>
            </w:r>
            <w:proofErr w:type="spellEnd"/>
          </w:p>
        </w:tc>
        <w:tc>
          <w:tcPr>
            <w:tcW w:w="3011" w:type="pct"/>
            <w:vAlign w:val="center"/>
          </w:tcPr>
          <w:p w:rsidR="00D439ED" w:rsidRDefault="00D439ED" w:rsidP="00D439ED">
            <w:pPr>
              <w:pStyle w:val="TableParagraph"/>
              <w:jc w:val="center"/>
              <w:rPr>
                <w:sz w:val="23"/>
                <w:lang w:eastAsia="zh-CN"/>
              </w:rPr>
            </w:pPr>
            <w:r>
              <w:rPr>
                <w:sz w:val="23"/>
                <w:lang w:eastAsia="zh-CN"/>
              </w:rPr>
              <w:t>建筑遮阳产品（含织物面料、电机）</w:t>
            </w:r>
          </w:p>
        </w:tc>
      </w:tr>
      <w:tr w:rsidR="00D439ED" w:rsidTr="00D439ED">
        <w:trPr>
          <w:trHeight w:hRule="exact" w:val="406"/>
        </w:trPr>
        <w:tc>
          <w:tcPr>
            <w:tcW w:w="468" w:type="pct"/>
            <w:vAlign w:val="center"/>
          </w:tcPr>
          <w:p w:rsidR="00D439ED" w:rsidRDefault="00D439ED" w:rsidP="00D439ED">
            <w:pPr>
              <w:pStyle w:val="TableParagraph"/>
              <w:spacing w:before="7"/>
              <w:ind w:left="102" w:right="104"/>
              <w:jc w:val="center"/>
              <w:rPr>
                <w:sz w:val="23"/>
              </w:rPr>
            </w:pPr>
            <w:r>
              <w:rPr>
                <w:sz w:val="23"/>
              </w:rPr>
              <w:t>11</w:t>
            </w:r>
          </w:p>
        </w:tc>
        <w:tc>
          <w:tcPr>
            <w:tcW w:w="1521" w:type="pct"/>
            <w:vAlign w:val="center"/>
          </w:tcPr>
          <w:p w:rsidR="00D439ED" w:rsidRDefault="00D439ED" w:rsidP="00D439ED">
            <w:pPr>
              <w:pStyle w:val="TableParagraph"/>
              <w:spacing w:before="7"/>
              <w:jc w:val="center"/>
              <w:rPr>
                <w:sz w:val="23"/>
                <w:lang w:eastAsia="zh-CN"/>
              </w:rPr>
            </w:pPr>
            <w:r>
              <w:rPr>
                <w:sz w:val="23"/>
                <w:lang w:eastAsia="zh-CN"/>
              </w:rPr>
              <w:t>建筑节能分项</w:t>
            </w:r>
            <w:proofErr w:type="gramStart"/>
            <w:r>
              <w:rPr>
                <w:sz w:val="23"/>
                <w:lang w:eastAsia="zh-CN"/>
              </w:rPr>
              <w:t>计量表具</w:t>
            </w:r>
            <w:proofErr w:type="gramEnd"/>
          </w:p>
        </w:tc>
        <w:tc>
          <w:tcPr>
            <w:tcW w:w="3011" w:type="pct"/>
            <w:vAlign w:val="center"/>
          </w:tcPr>
          <w:p w:rsidR="00D439ED" w:rsidRDefault="00D439ED" w:rsidP="00D439ED">
            <w:pPr>
              <w:pStyle w:val="TableParagraph"/>
              <w:spacing w:before="7"/>
              <w:jc w:val="center"/>
              <w:rPr>
                <w:sz w:val="23"/>
              </w:rPr>
            </w:pPr>
            <w:proofErr w:type="spellStart"/>
            <w:r>
              <w:rPr>
                <w:sz w:val="23"/>
              </w:rPr>
              <w:t>表具、数据采集器</w:t>
            </w:r>
            <w:proofErr w:type="spellEnd"/>
          </w:p>
        </w:tc>
      </w:tr>
      <w:tr w:rsidR="00D439ED" w:rsidTr="00D439ED">
        <w:trPr>
          <w:trHeight w:hRule="exact" w:val="408"/>
        </w:trPr>
        <w:tc>
          <w:tcPr>
            <w:tcW w:w="468" w:type="pct"/>
            <w:vAlign w:val="center"/>
          </w:tcPr>
          <w:p w:rsidR="00D439ED" w:rsidRDefault="00D439ED" w:rsidP="00D439ED">
            <w:pPr>
              <w:pStyle w:val="TableParagraph"/>
              <w:ind w:left="102" w:right="104"/>
              <w:jc w:val="center"/>
              <w:rPr>
                <w:sz w:val="23"/>
              </w:rPr>
            </w:pPr>
            <w:r>
              <w:rPr>
                <w:sz w:val="23"/>
              </w:rPr>
              <w:t>12</w:t>
            </w:r>
          </w:p>
        </w:tc>
        <w:tc>
          <w:tcPr>
            <w:tcW w:w="1521" w:type="pct"/>
            <w:vAlign w:val="center"/>
          </w:tcPr>
          <w:p w:rsidR="00D439ED" w:rsidRDefault="00D439ED" w:rsidP="00D439ED">
            <w:pPr>
              <w:pStyle w:val="TableParagraph"/>
              <w:jc w:val="center"/>
              <w:rPr>
                <w:sz w:val="23"/>
              </w:rPr>
            </w:pPr>
            <w:proofErr w:type="spellStart"/>
            <w:r>
              <w:rPr>
                <w:sz w:val="23"/>
              </w:rPr>
              <w:t>市政公路路用材料</w:t>
            </w:r>
            <w:proofErr w:type="spellEnd"/>
          </w:p>
        </w:tc>
        <w:tc>
          <w:tcPr>
            <w:tcW w:w="3011" w:type="pct"/>
            <w:vAlign w:val="center"/>
          </w:tcPr>
          <w:p w:rsidR="00D439ED" w:rsidRDefault="00D439ED" w:rsidP="00D439ED">
            <w:pPr>
              <w:pStyle w:val="TableParagraph"/>
              <w:jc w:val="center"/>
              <w:rPr>
                <w:sz w:val="23"/>
                <w:lang w:eastAsia="zh-CN"/>
              </w:rPr>
            </w:pPr>
            <w:r>
              <w:rPr>
                <w:sz w:val="23"/>
                <w:lang w:eastAsia="zh-CN"/>
              </w:rPr>
              <w:t>沥青混凝土、石灰粉煤灰稳定碎石、水泥稳定碎石</w:t>
            </w:r>
          </w:p>
        </w:tc>
      </w:tr>
    </w:tbl>
    <w:p w:rsidR="00D439ED" w:rsidRPr="00D439ED" w:rsidRDefault="00D439ED" w:rsidP="00E50575">
      <w:pPr>
        <w:spacing w:line="520" w:lineRule="exact"/>
        <w:rPr>
          <w:rFonts w:ascii="仿宋_GB2312" w:eastAsia="仿宋_GB2312" w:hAnsi="Calibri"/>
          <w:sz w:val="28"/>
          <w:szCs w:val="28"/>
        </w:rPr>
      </w:pPr>
    </w:p>
    <w:p w:rsidR="00D439ED" w:rsidRDefault="00E561BB" w:rsidP="00E50575">
      <w:pPr>
        <w:spacing w:line="520" w:lineRule="exact"/>
        <w:rPr>
          <w:rFonts w:ascii="仿宋_GB2312" w:eastAsia="仿宋_GB2312" w:hAnsi="Calibri"/>
          <w:sz w:val="28"/>
          <w:szCs w:val="28"/>
        </w:rPr>
      </w:pPr>
      <w:r>
        <w:rPr>
          <w:rFonts w:ascii="仿宋_GB2312" w:eastAsia="仿宋_GB2312" w:hAnsi="Calibri" w:hint="eastAsia"/>
          <w:sz w:val="28"/>
          <w:szCs w:val="28"/>
        </w:rPr>
        <w:t>附件</w:t>
      </w:r>
      <w:r w:rsidRPr="00D439ED">
        <w:rPr>
          <w:rFonts w:ascii="仿宋_GB2312" w:eastAsia="仿宋_GB2312" w:hAnsi="Calibri" w:hint="eastAsia"/>
          <w:sz w:val="28"/>
          <w:szCs w:val="28"/>
        </w:rPr>
        <w:t>2</w:t>
      </w:r>
      <w:r>
        <w:rPr>
          <w:rFonts w:ascii="仿宋_GB2312" w:eastAsia="仿宋_GB2312" w:hAnsi="Calibri" w:hint="eastAsia"/>
          <w:sz w:val="28"/>
          <w:szCs w:val="28"/>
        </w:rPr>
        <w:t>：</w:t>
      </w:r>
      <w:r w:rsidR="009D7A30">
        <w:rPr>
          <w:rFonts w:ascii="仿宋_GB2312" w:eastAsia="仿宋_GB2312" w:hAnsi="Calibri" w:hint="eastAsia"/>
          <w:sz w:val="28"/>
          <w:szCs w:val="28"/>
        </w:rPr>
        <w:t xml:space="preserve"> </w:t>
      </w:r>
    </w:p>
    <w:p w:rsidR="00F46263" w:rsidRDefault="00F46263" w:rsidP="009D7A30">
      <w:pPr>
        <w:spacing w:line="520" w:lineRule="exact"/>
        <w:jc w:val="center"/>
        <w:rPr>
          <w:rFonts w:ascii="仿宋_GB2312" w:eastAsia="仿宋_GB2312" w:hAnsi="Calibri" w:hint="eastAsia"/>
          <w:b/>
          <w:sz w:val="28"/>
          <w:szCs w:val="28"/>
        </w:rPr>
      </w:pPr>
    </w:p>
    <w:p w:rsidR="009D7A30" w:rsidRPr="009D7A30" w:rsidRDefault="009D7A30" w:rsidP="009D7A30">
      <w:pPr>
        <w:spacing w:line="520" w:lineRule="exact"/>
        <w:jc w:val="center"/>
        <w:rPr>
          <w:rFonts w:ascii="仿宋_GB2312" w:eastAsia="仿宋_GB2312" w:hAnsi="Calibri"/>
          <w:b/>
          <w:sz w:val="28"/>
          <w:szCs w:val="28"/>
        </w:rPr>
      </w:pPr>
      <w:r w:rsidRPr="009D7A30">
        <w:rPr>
          <w:rFonts w:ascii="仿宋_GB2312" w:eastAsia="仿宋_GB2312" w:hAnsi="Calibri" w:hint="eastAsia"/>
          <w:b/>
          <w:sz w:val="28"/>
          <w:szCs w:val="28"/>
        </w:rPr>
        <w:t>上海市新型建设工程材料认定技术评估专家管理办法</w:t>
      </w:r>
    </w:p>
    <w:p w:rsidR="009D7A30" w:rsidRPr="009D7A30" w:rsidRDefault="009D7A30" w:rsidP="009D7A30">
      <w:pPr>
        <w:spacing w:line="520" w:lineRule="exact"/>
        <w:jc w:val="center"/>
        <w:rPr>
          <w:rFonts w:ascii="仿宋_GB2312" w:eastAsia="仿宋_GB2312" w:hAnsi="Calibri"/>
          <w:sz w:val="28"/>
          <w:szCs w:val="28"/>
        </w:rPr>
      </w:pPr>
      <w:bookmarkStart w:id="0" w:name="_GoBack"/>
      <w:bookmarkEnd w:id="0"/>
      <w:r w:rsidRPr="009D7A30">
        <w:rPr>
          <w:rFonts w:ascii="仿宋_GB2312" w:eastAsia="仿宋_GB2312" w:hAnsi="Calibri" w:hint="eastAsia"/>
          <w:sz w:val="28"/>
          <w:szCs w:val="28"/>
        </w:rPr>
        <w:t>第一章</w:t>
      </w:r>
      <w:r w:rsidRPr="009D7A30">
        <w:rPr>
          <w:rFonts w:ascii="仿宋_GB2312" w:eastAsia="仿宋_GB2312" w:hAnsi="Calibri" w:hint="eastAsia"/>
          <w:sz w:val="28"/>
          <w:szCs w:val="28"/>
        </w:rPr>
        <w:tab/>
        <w:t>总则</w:t>
      </w:r>
    </w:p>
    <w:p w:rsidR="009D7A30" w:rsidRPr="009D7A30" w:rsidRDefault="009D7A30" w:rsidP="009D7A30">
      <w:pPr>
        <w:spacing w:line="520" w:lineRule="exact"/>
        <w:ind w:firstLineChars="200" w:firstLine="560"/>
        <w:rPr>
          <w:rFonts w:ascii="仿宋_GB2312" w:eastAsia="仿宋_GB2312" w:hAnsi="Calibri"/>
          <w:sz w:val="28"/>
          <w:szCs w:val="28"/>
        </w:rPr>
      </w:pPr>
      <w:r w:rsidRPr="009D7A30">
        <w:rPr>
          <w:rFonts w:ascii="仿宋_GB2312" w:eastAsia="仿宋_GB2312" w:hAnsi="Calibri" w:hint="eastAsia"/>
          <w:sz w:val="28"/>
          <w:szCs w:val="28"/>
        </w:rPr>
        <w:t>第一条 为做好本市新型建设工程材料技术评估工作，规范专家的聘用和管理，制定本办法。</w:t>
      </w:r>
    </w:p>
    <w:p w:rsidR="009D7A30" w:rsidRPr="009D7A30" w:rsidRDefault="009D7A30" w:rsidP="009D7A30">
      <w:pPr>
        <w:spacing w:line="520" w:lineRule="exact"/>
        <w:ind w:firstLineChars="200" w:firstLine="560"/>
        <w:rPr>
          <w:rFonts w:ascii="仿宋_GB2312" w:eastAsia="仿宋_GB2312" w:hAnsi="Calibri"/>
          <w:sz w:val="28"/>
          <w:szCs w:val="28"/>
        </w:rPr>
      </w:pPr>
      <w:r w:rsidRPr="009D7A30">
        <w:rPr>
          <w:rFonts w:ascii="仿宋_GB2312" w:eastAsia="仿宋_GB2312" w:hAnsi="Calibri" w:hint="eastAsia"/>
          <w:sz w:val="28"/>
          <w:szCs w:val="28"/>
        </w:rPr>
        <w:t>第二条 本办法适用于对参加本市新型建设工程材料认定技术评估工作专家的管理，包括对专家的聘用资格管理及日常管理。</w:t>
      </w:r>
    </w:p>
    <w:p w:rsidR="009D7A30" w:rsidRPr="009D7A30" w:rsidRDefault="009D7A30" w:rsidP="009D7A30">
      <w:pPr>
        <w:spacing w:line="520" w:lineRule="exact"/>
        <w:ind w:firstLineChars="200" w:firstLine="560"/>
        <w:rPr>
          <w:rFonts w:ascii="仿宋_GB2312" w:eastAsia="仿宋_GB2312" w:hAnsi="Calibri"/>
          <w:sz w:val="28"/>
          <w:szCs w:val="28"/>
        </w:rPr>
      </w:pPr>
      <w:r w:rsidRPr="009D7A30">
        <w:rPr>
          <w:rFonts w:ascii="仿宋_GB2312" w:eastAsia="仿宋_GB2312" w:hAnsi="Calibri" w:hint="eastAsia"/>
          <w:sz w:val="28"/>
          <w:szCs w:val="28"/>
        </w:rPr>
        <w:t>第三条 上海市城乡建设和管理委员会科学技术委员会办公室（以下简称科技委办公室）负责对评估专家进行管理和提供服务。</w:t>
      </w:r>
    </w:p>
    <w:p w:rsidR="009D7A30" w:rsidRPr="009D7A30" w:rsidRDefault="009D7A30" w:rsidP="009D7A30">
      <w:pPr>
        <w:spacing w:line="520" w:lineRule="exact"/>
        <w:jc w:val="center"/>
        <w:rPr>
          <w:rFonts w:ascii="仿宋_GB2312" w:eastAsia="仿宋_GB2312" w:hAnsi="Calibri"/>
          <w:sz w:val="28"/>
          <w:szCs w:val="28"/>
        </w:rPr>
      </w:pPr>
      <w:r w:rsidRPr="009D7A30">
        <w:rPr>
          <w:rFonts w:ascii="仿宋_GB2312" w:eastAsia="仿宋_GB2312" w:hAnsi="Calibri" w:hint="eastAsia"/>
          <w:sz w:val="28"/>
          <w:szCs w:val="28"/>
        </w:rPr>
        <w:t>第二章</w:t>
      </w:r>
      <w:r w:rsidRPr="009D7A30">
        <w:rPr>
          <w:rFonts w:ascii="仿宋_GB2312" w:eastAsia="仿宋_GB2312" w:hAnsi="Calibri" w:hint="eastAsia"/>
          <w:sz w:val="28"/>
          <w:szCs w:val="28"/>
        </w:rPr>
        <w:tab/>
        <w:t>评估专家资格管理</w:t>
      </w:r>
    </w:p>
    <w:p w:rsidR="009D7A30" w:rsidRPr="009D7A30" w:rsidRDefault="009D7A30" w:rsidP="009D7A30">
      <w:pPr>
        <w:spacing w:line="520" w:lineRule="exact"/>
        <w:ind w:firstLineChars="200" w:firstLine="560"/>
        <w:rPr>
          <w:rFonts w:ascii="仿宋_GB2312" w:eastAsia="仿宋_GB2312" w:hAnsi="Calibri"/>
          <w:sz w:val="28"/>
          <w:szCs w:val="28"/>
        </w:rPr>
      </w:pPr>
      <w:r w:rsidRPr="009D7A30">
        <w:rPr>
          <w:rFonts w:ascii="仿宋_GB2312" w:eastAsia="仿宋_GB2312" w:hAnsi="Calibri" w:hint="eastAsia"/>
          <w:sz w:val="28"/>
          <w:szCs w:val="28"/>
        </w:rPr>
        <w:t>第四条</w:t>
      </w:r>
      <w:r w:rsidRPr="009D7A30">
        <w:rPr>
          <w:rFonts w:ascii="仿宋_GB2312" w:eastAsia="仿宋_GB2312" w:hAnsi="Calibri" w:hint="eastAsia"/>
          <w:sz w:val="28"/>
          <w:szCs w:val="28"/>
        </w:rPr>
        <w:tab/>
        <w:t>评估专家应具备以下基本条件：</w:t>
      </w:r>
    </w:p>
    <w:p w:rsidR="009D7A30" w:rsidRPr="009D7A30" w:rsidRDefault="009D7A30" w:rsidP="009D7A30">
      <w:pPr>
        <w:spacing w:line="520" w:lineRule="exact"/>
        <w:rPr>
          <w:rFonts w:ascii="仿宋_GB2312" w:eastAsia="仿宋_GB2312" w:hAnsi="Calibri"/>
          <w:sz w:val="28"/>
          <w:szCs w:val="28"/>
        </w:rPr>
      </w:pPr>
      <w:r w:rsidRPr="009D7A30">
        <w:rPr>
          <w:rFonts w:ascii="仿宋_GB2312" w:eastAsia="仿宋_GB2312" w:hAnsi="Calibri" w:hint="eastAsia"/>
          <w:sz w:val="28"/>
          <w:szCs w:val="28"/>
        </w:rPr>
        <w:t>（一）遵守职业道德、诚实守信、作风正派、学术严谨。</w:t>
      </w:r>
    </w:p>
    <w:p w:rsidR="009D7A30" w:rsidRPr="009D7A30" w:rsidRDefault="009D7A30" w:rsidP="009D7A30">
      <w:pPr>
        <w:spacing w:line="520" w:lineRule="exact"/>
        <w:rPr>
          <w:rFonts w:ascii="仿宋_GB2312" w:eastAsia="仿宋_GB2312" w:hAnsi="Calibri"/>
          <w:sz w:val="28"/>
          <w:szCs w:val="28"/>
        </w:rPr>
      </w:pPr>
      <w:r w:rsidRPr="009D7A30">
        <w:rPr>
          <w:rFonts w:ascii="仿宋_GB2312" w:eastAsia="仿宋_GB2312" w:hAnsi="Calibri" w:hint="eastAsia"/>
          <w:sz w:val="28"/>
          <w:szCs w:val="28"/>
        </w:rPr>
        <w:t>（二）专家年龄宜为 70 周岁以下，身体健康。</w:t>
      </w:r>
    </w:p>
    <w:p w:rsidR="009D7A30" w:rsidRPr="009D7A30" w:rsidRDefault="009D7A30" w:rsidP="009D7A30">
      <w:pPr>
        <w:spacing w:line="520" w:lineRule="exact"/>
        <w:rPr>
          <w:rFonts w:ascii="仿宋_GB2312" w:eastAsia="仿宋_GB2312" w:hAnsi="Calibri"/>
          <w:sz w:val="28"/>
          <w:szCs w:val="28"/>
        </w:rPr>
      </w:pPr>
      <w:r w:rsidRPr="009D7A30">
        <w:rPr>
          <w:rFonts w:ascii="仿宋_GB2312" w:eastAsia="仿宋_GB2312" w:hAnsi="Calibri" w:hint="eastAsia"/>
          <w:sz w:val="28"/>
          <w:szCs w:val="28"/>
        </w:rPr>
        <w:t>（三）熟悉有关法律、法规、规章和建设工程、建筑材料相关技术标准、</w:t>
      </w:r>
      <w:r w:rsidRPr="009D7A30">
        <w:rPr>
          <w:rFonts w:ascii="仿宋_GB2312" w:eastAsia="仿宋_GB2312" w:hAnsi="Calibri" w:hint="eastAsia"/>
          <w:sz w:val="28"/>
          <w:szCs w:val="28"/>
        </w:rPr>
        <w:lastRenderedPageBreak/>
        <w:t>规范及管理规定，具有高级及以上相关技术职称或从事相关专业工作满 15 年以上，具有丰富的设计、施工和安全管理实践经验。</w:t>
      </w:r>
    </w:p>
    <w:p w:rsidR="009D7A30" w:rsidRPr="009D7A30" w:rsidRDefault="009D7A30" w:rsidP="009D7A30">
      <w:pPr>
        <w:spacing w:line="520" w:lineRule="exact"/>
        <w:rPr>
          <w:rFonts w:ascii="仿宋_GB2312" w:eastAsia="仿宋_GB2312" w:hAnsi="Calibri"/>
          <w:sz w:val="28"/>
          <w:szCs w:val="28"/>
        </w:rPr>
      </w:pPr>
      <w:r w:rsidRPr="009D7A30">
        <w:rPr>
          <w:rFonts w:ascii="仿宋_GB2312" w:eastAsia="仿宋_GB2312" w:hAnsi="Calibri" w:hint="eastAsia"/>
          <w:sz w:val="28"/>
          <w:szCs w:val="28"/>
        </w:rPr>
        <w:t>（四）担任评估组组长的专家应具备高级及以上专业技术职称，同时具备材料领域中与该项评估内容一致的专业特长。</w:t>
      </w:r>
    </w:p>
    <w:p w:rsidR="009D7A30" w:rsidRPr="009D7A30" w:rsidRDefault="009D7A30" w:rsidP="009D7A30">
      <w:pPr>
        <w:spacing w:line="520" w:lineRule="exact"/>
        <w:ind w:firstLineChars="200" w:firstLine="560"/>
        <w:rPr>
          <w:rFonts w:ascii="仿宋_GB2312" w:eastAsia="仿宋_GB2312" w:hAnsi="Calibri"/>
          <w:sz w:val="28"/>
          <w:szCs w:val="28"/>
        </w:rPr>
      </w:pPr>
      <w:r w:rsidRPr="009D7A30">
        <w:rPr>
          <w:rFonts w:ascii="仿宋_GB2312" w:eastAsia="仿宋_GB2312" w:hAnsi="Calibri" w:hint="eastAsia"/>
          <w:sz w:val="28"/>
          <w:szCs w:val="28"/>
        </w:rPr>
        <w:t>第五条</w:t>
      </w:r>
      <w:r w:rsidRPr="009D7A30">
        <w:rPr>
          <w:rFonts w:ascii="仿宋_GB2312" w:eastAsia="仿宋_GB2312" w:hAnsi="Calibri" w:hint="eastAsia"/>
          <w:sz w:val="28"/>
          <w:szCs w:val="28"/>
        </w:rPr>
        <w:tab/>
        <w:t>评估专家的权利和义务：</w:t>
      </w:r>
    </w:p>
    <w:p w:rsidR="009D7A30" w:rsidRPr="009D7A30" w:rsidRDefault="009D7A30" w:rsidP="009D7A30">
      <w:pPr>
        <w:spacing w:line="520" w:lineRule="exact"/>
        <w:rPr>
          <w:rFonts w:ascii="仿宋_GB2312" w:eastAsia="仿宋_GB2312" w:hAnsi="Calibri"/>
          <w:sz w:val="28"/>
          <w:szCs w:val="28"/>
        </w:rPr>
      </w:pPr>
      <w:r w:rsidRPr="009D7A30">
        <w:rPr>
          <w:rFonts w:ascii="仿宋_GB2312" w:eastAsia="仿宋_GB2312" w:hAnsi="Calibri" w:hint="eastAsia"/>
          <w:sz w:val="28"/>
          <w:szCs w:val="28"/>
        </w:rPr>
        <w:t>1、对所评估的内容及相关信息享有知情权；</w:t>
      </w:r>
    </w:p>
    <w:p w:rsidR="009D7A30" w:rsidRPr="009D7A30" w:rsidRDefault="009D7A30" w:rsidP="009D7A30">
      <w:pPr>
        <w:spacing w:line="520" w:lineRule="exact"/>
        <w:rPr>
          <w:rFonts w:ascii="仿宋_GB2312" w:eastAsia="仿宋_GB2312" w:hAnsi="Calibri"/>
          <w:sz w:val="28"/>
          <w:szCs w:val="28"/>
        </w:rPr>
      </w:pPr>
      <w:r w:rsidRPr="009D7A30">
        <w:rPr>
          <w:rFonts w:ascii="仿宋_GB2312" w:eastAsia="仿宋_GB2312" w:hAnsi="Calibri" w:hint="eastAsia"/>
          <w:sz w:val="28"/>
          <w:szCs w:val="28"/>
        </w:rPr>
        <w:t>2、专家在评估过程中，不受任何单位、个人或机构干扰， 客观、公正的履行职责；</w:t>
      </w:r>
    </w:p>
    <w:p w:rsidR="009D7A30" w:rsidRPr="009D7A30" w:rsidRDefault="009D7A30" w:rsidP="009D7A30">
      <w:pPr>
        <w:spacing w:line="520" w:lineRule="exact"/>
        <w:rPr>
          <w:rFonts w:ascii="仿宋_GB2312" w:eastAsia="仿宋_GB2312" w:hAnsi="Calibri"/>
          <w:sz w:val="28"/>
          <w:szCs w:val="28"/>
        </w:rPr>
      </w:pPr>
      <w:r w:rsidRPr="009D7A30">
        <w:rPr>
          <w:rFonts w:ascii="仿宋_GB2312" w:eastAsia="仿宋_GB2312" w:hAnsi="Calibri" w:hint="eastAsia"/>
          <w:sz w:val="28"/>
          <w:szCs w:val="28"/>
        </w:rPr>
        <w:t>3、按规定获得相应劳动报酬；</w:t>
      </w:r>
    </w:p>
    <w:p w:rsidR="009D7A30" w:rsidRPr="009D7A30" w:rsidRDefault="009D7A30" w:rsidP="009D7A30">
      <w:pPr>
        <w:spacing w:line="520" w:lineRule="exact"/>
        <w:rPr>
          <w:rFonts w:ascii="仿宋_GB2312" w:eastAsia="仿宋_GB2312" w:hAnsi="Calibri"/>
          <w:sz w:val="28"/>
          <w:szCs w:val="28"/>
        </w:rPr>
      </w:pPr>
      <w:r w:rsidRPr="009D7A30">
        <w:rPr>
          <w:rFonts w:ascii="仿宋_GB2312" w:eastAsia="仿宋_GB2312" w:hAnsi="Calibri" w:hint="eastAsia"/>
          <w:sz w:val="28"/>
          <w:szCs w:val="28"/>
        </w:rPr>
        <w:t>4、对评估材料涉及的技术信息具有保密义务；</w:t>
      </w:r>
    </w:p>
    <w:p w:rsidR="009D7A30" w:rsidRPr="009D7A30" w:rsidRDefault="009D7A30" w:rsidP="009D7A30">
      <w:pPr>
        <w:spacing w:line="520" w:lineRule="exact"/>
        <w:rPr>
          <w:rFonts w:ascii="仿宋_GB2312" w:eastAsia="仿宋_GB2312" w:hAnsi="Calibri"/>
          <w:sz w:val="28"/>
          <w:szCs w:val="28"/>
        </w:rPr>
      </w:pPr>
      <w:r w:rsidRPr="009D7A30">
        <w:rPr>
          <w:rFonts w:ascii="仿宋_GB2312" w:eastAsia="仿宋_GB2312" w:hAnsi="Calibri" w:hint="eastAsia"/>
          <w:sz w:val="28"/>
          <w:szCs w:val="28"/>
        </w:rPr>
        <w:t>5、遵守职业道德和行业规范，廉洁自律，对所评估的内容提出观点明确的书面意见并对所提出的评估意见和结果负责；</w:t>
      </w:r>
    </w:p>
    <w:p w:rsidR="009D7A30" w:rsidRPr="009D7A30" w:rsidRDefault="009D7A30" w:rsidP="009D7A30">
      <w:pPr>
        <w:spacing w:line="520" w:lineRule="exact"/>
        <w:rPr>
          <w:rFonts w:ascii="仿宋_GB2312" w:eastAsia="仿宋_GB2312" w:hAnsi="Calibri"/>
          <w:sz w:val="28"/>
          <w:szCs w:val="28"/>
        </w:rPr>
      </w:pPr>
      <w:r w:rsidRPr="009D7A30">
        <w:rPr>
          <w:rFonts w:ascii="仿宋_GB2312" w:eastAsia="仿宋_GB2312" w:hAnsi="Calibri" w:hint="eastAsia"/>
          <w:sz w:val="28"/>
          <w:szCs w:val="28"/>
        </w:rPr>
        <w:t>6、专家均应为科技委办公室评估专家库中专家，并接受专家库管理部门的监督管理。</w:t>
      </w:r>
    </w:p>
    <w:p w:rsidR="009D7A30" w:rsidRPr="009D7A30" w:rsidRDefault="009D7A30" w:rsidP="009D7A30">
      <w:pPr>
        <w:spacing w:line="520" w:lineRule="exact"/>
        <w:jc w:val="center"/>
        <w:rPr>
          <w:rFonts w:ascii="仿宋_GB2312" w:eastAsia="仿宋_GB2312" w:hAnsi="Calibri"/>
          <w:sz w:val="28"/>
          <w:szCs w:val="28"/>
        </w:rPr>
      </w:pPr>
      <w:r w:rsidRPr="009D7A30">
        <w:rPr>
          <w:rFonts w:ascii="仿宋_GB2312" w:eastAsia="仿宋_GB2312" w:hAnsi="Calibri" w:hint="eastAsia"/>
          <w:sz w:val="28"/>
          <w:szCs w:val="28"/>
        </w:rPr>
        <w:t>第三章</w:t>
      </w:r>
      <w:r w:rsidRPr="009D7A30">
        <w:rPr>
          <w:rFonts w:ascii="仿宋_GB2312" w:eastAsia="仿宋_GB2312" w:hAnsi="Calibri" w:hint="eastAsia"/>
          <w:sz w:val="28"/>
          <w:szCs w:val="28"/>
        </w:rPr>
        <w:tab/>
        <w:t>专家日常管理</w:t>
      </w:r>
    </w:p>
    <w:p w:rsidR="009D7A30" w:rsidRPr="009D7A30" w:rsidRDefault="009D7A30" w:rsidP="009D7A30">
      <w:pPr>
        <w:spacing w:line="520" w:lineRule="exact"/>
        <w:ind w:firstLineChars="200" w:firstLine="560"/>
        <w:rPr>
          <w:rFonts w:ascii="仿宋_GB2312" w:eastAsia="仿宋_GB2312" w:hAnsi="Calibri"/>
          <w:sz w:val="28"/>
          <w:szCs w:val="28"/>
        </w:rPr>
      </w:pPr>
      <w:r w:rsidRPr="009D7A30">
        <w:rPr>
          <w:rFonts w:ascii="仿宋_GB2312" w:eastAsia="仿宋_GB2312" w:hAnsi="Calibri" w:hint="eastAsia"/>
          <w:sz w:val="28"/>
          <w:szCs w:val="28"/>
        </w:rPr>
        <w:t>第六条 科技委办公室建立新型建设工程材料认定技术评估专家库，技术评估专家包括材料专家及涉及材料应用的设计、施工、检测和安全管理等方面的专家。专业按十八大类分为：1、建筑用钢材 2、建筑幕墙 3、建筑遮阳 4、墙</w:t>
      </w:r>
      <w:proofErr w:type="gramStart"/>
      <w:r w:rsidRPr="009D7A30">
        <w:rPr>
          <w:rFonts w:ascii="仿宋_GB2312" w:eastAsia="仿宋_GB2312" w:hAnsi="Calibri" w:hint="eastAsia"/>
          <w:sz w:val="28"/>
          <w:szCs w:val="28"/>
        </w:rPr>
        <w:t>体材</w:t>
      </w:r>
      <w:proofErr w:type="gramEnd"/>
      <w:r w:rsidRPr="009D7A30">
        <w:rPr>
          <w:rFonts w:ascii="仿宋_GB2312" w:eastAsia="仿宋_GB2312" w:hAnsi="Calibri" w:hint="eastAsia"/>
          <w:sz w:val="28"/>
          <w:szCs w:val="28"/>
        </w:rPr>
        <w:t>料 5、建筑节能系统材料 6、管道 7、建筑涂料 8、建筑粘结材料 9、防水材料 10、建筑用石材 11、水泥 12、商品混凝土 13、预拌砂浆 14、混凝土构件 15、建筑门窗16、建筑节能分项</w:t>
      </w:r>
      <w:proofErr w:type="gramStart"/>
      <w:r w:rsidRPr="009D7A30">
        <w:rPr>
          <w:rFonts w:ascii="仿宋_GB2312" w:eastAsia="仿宋_GB2312" w:hAnsi="Calibri" w:hint="eastAsia"/>
          <w:sz w:val="28"/>
          <w:szCs w:val="28"/>
        </w:rPr>
        <w:t>计量表具</w:t>
      </w:r>
      <w:proofErr w:type="gramEnd"/>
      <w:r w:rsidRPr="009D7A30">
        <w:rPr>
          <w:rFonts w:ascii="仿宋_GB2312" w:eastAsia="仿宋_GB2312" w:hAnsi="Calibri" w:hint="eastAsia"/>
          <w:sz w:val="28"/>
          <w:szCs w:val="28"/>
        </w:rPr>
        <w:t xml:space="preserve"> 17、玻璃 18、市政公路</w:t>
      </w:r>
      <w:proofErr w:type="gramStart"/>
      <w:r w:rsidRPr="009D7A30">
        <w:rPr>
          <w:rFonts w:ascii="仿宋_GB2312" w:eastAsia="仿宋_GB2312" w:hAnsi="Calibri" w:hint="eastAsia"/>
          <w:sz w:val="28"/>
          <w:szCs w:val="28"/>
        </w:rPr>
        <w:t>路</w:t>
      </w:r>
      <w:proofErr w:type="gramEnd"/>
      <w:r w:rsidRPr="009D7A30">
        <w:rPr>
          <w:rFonts w:ascii="仿宋_GB2312" w:eastAsia="仿宋_GB2312" w:hAnsi="Calibri" w:hint="eastAsia"/>
          <w:sz w:val="28"/>
          <w:szCs w:val="28"/>
        </w:rPr>
        <w:t>用材料</w:t>
      </w:r>
    </w:p>
    <w:p w:rsidR="009D7A30" w:rsidRPr="009D7A30" w:rsidRDefault="009D7A30" w:rsidP="009D7A30">
      <w:pPr>
        <w:spacing w:line="520" w:lineRule="exact"/>
        <w:ind w:firstLineChars="200" w:firstLine="560"/>
        <w:rPr>
          <w:rFonts w:ascii="仿宋_GB2312" w:eastAsia="仿宋_GB2312" w:hAnsi="Calibri"/>
          <w:sz w:val="28"/>
          <w:szCs w:val="28"/>
        </w:rPr>
      </w:pPr>
      <w:r w:rsidRPr="009D7A30">
        <w:rPr>
          <w:rFonts w:ascii="仿宋_GB2312" w:eastAsia="仿宋_GB2312" w:hAnsi="Calibri" w:hint="eastAsia"/>
          <w:sz w:val="28"/>
          <w:szCs w:val="28"/>
        </w:rPr>
        <w:t>第七条  专家确定时，专业类别须与评估内容相一致。专家组选取方式按照《上海市住房和城乡建设管理委员会科学技术委员会评审专家库管理暂行办法》执行。</w:t>
      </w:r>
    </w:p>
    <w:p w:rsidR="009D7A30" w:rsidRPr="009D7A30" w:rsidRDefault="009D7A30" w:rsidP="009D7A30">
      <w:pPr>
        <w:spacing w:line="520" w:lineRule="exact"/>
        <w:ind w:firstLineChars="200" w:firstLine="560"/>
        <w:rPr>
          <w:rFonts w:ascii="仿宋_GB2312" w:eastAsia="仿宋_GB2312" w:hAnsi="Calibri"/>
          <w:sz w:val="28"/>
          <w:szCs w:val="28"/>
        </w:rPr>
      </w:pPr>
      <w:r w:rsidRPr="009D7A30">
        <w:rPr>
          <w:rFonts w:ascii="仿宋_GB2312" w:eastAsia="仿宋_GB2312" w:hAnsi="Calibri" w:hint="eastAsia"/>
          <w:sz w:val="28"/>
          <w:szCs w:val="28"/>
        </w:rPr>
        <w:t>第八条 科技委办公室专家库管理部门对评估专家建立档案，包括专</w:t>
      </w:r>
      <w:r w:rsidRPr="009D7A30">
        <w:rPr>
          <w:rFonts w:ascii="仿宋_GB2312" w:eastAsia="仿宋_GB2312" w:hAnsi="Calibri" w:hint="eastAsia"/>
          <w:sz w:val="28"/>
          <w:szCs w:val="28"/>
        </w:rPr>
        <w:lastRenderedPageBreak/>
        <w:t>家的个人信息、实际参与评估工作的记录以及专家的培训、学习交流情况，专家库管理部门负责做好所有专家信息的及时更新工作。</w:t>
      </w:r>
    </w:p>
    <w:p w:rsidR="00D439ED" w:rsidRDefault="009D7A30" w:rsidP="009D7A30">
      <w:pPr>
        <w:spacing w:line="520" w:lineRule="exact"/>
        <w:ind w:firstLineChars="200" w:firstLine="560"/>
        <w:rPr>
          <w:rFonts w:ascii="仿宋_GB2312" w:eastAsia="仿宋_GB2312" w:hAnsi="Calibri"/>
          <w:sz w:val="28"/>
          <w:szCs w:val="28"/>
        </w:rPr>
      </w:pPr>
      <w:r w:rsidRPr="009D7A30">
        <w:rPr>
          <w:rFonts w:ascii="仿宋_GB2312" w:eastAsia="仿宋_GB2312" w:hAnsi="Calibri" w:hint="eastAsia"/>
          <w:sz w:val="28"/>
          <w:szCs w:val="28"/>
        </w:rPr>
        <w:t>第九条 专家库管理部门负责对评估专家的评估工作质量、工作纪律进行监督，年度进行诚信考核。</w:t>
      </w:r>
    </w:p>
    <w:p w:rsidR="009D7A30" w:rsidRDefault="009D7A30" w:rsidP="009D7A30">
      <w:pPr>
        <w:spacing w:line="520" w:lineRule="exact"/>
        <w:jc w:val="center"/>
        <w:rPr>
          <w:rFonts w:ascii="仿宋_GB2312" w:eastAsia="仿宋_GB2312" w:hAnsi="Calibri"/>
          <w:sz w:val="28"/>
          <w:szCs w:val="28"/>
        </w:rPr>
      </w:pPr>
    </w:p>
    <w:p w:rsidR="009D7A30" w:rsidRDefault="009D7A30" w:rsidP="009D7A30">
      <w:pPr>
        <w:spacing w:line="520" w:lineRule="exact"/>
        <w:jc w:val="center"/>
        <w:rPr>
          <w:rFonts w:ascii="黑体" w:eastAsia="黑体" w:hAnsi="Calibri"/>
          <w:b/>
          <w:sz w:val="32"/>
          <w:szCs w:val="32"/>
        </w:rPr>
      </w:pPr>
      <w:r w:rsidRPr="009D7A30">
        <w:rPr>
          <w:rFonts w:ascii="黑体" w:eastAsia="黑体" w:hAnsi="Calibri" w:hint="eastAsia"/>
          <w:b/>
          <w:sz w:val="32"/>
          <w:szCs w:val="32"/>
        </w:rPr>
        <w:t>关于进一步加强建设工程施工安全生产工作的紧急通知</w:t>
      </w:r>
    </w:p>
    <w:p w:rsidR="009D7A30" w:rsidRPr="009D7A30" w:rsidRDefault="009D7A30" w:rsidP="009D7A30">
      <w:pPr>
        <w:spacing w:line="520" w:lineRule="exact"/>
        <w:jc w:val="center"/>
        <w:rPr>
          <w:rFonts w:ascii="仿宋_GB2312" w:eastAsia="仿宋_GB2312" w:hAnsi="Calibri"/>
          <w:szCs w:val="21"/>
        </w:rPr>
      </w:pPr>
      <w:proofErr w:type="gramStart"/>
      <w:r w:rsidRPr="009D7A30">
        <w:rPr>
          <w:rFonts w:ascii="仿宋_GB2312" w:eastAsia="仿宋_GB2312" w:hAnsi="Calibri" w:hint="eastAsia"/>
          <w:szCs w:val="21"/>
        </w:rPr>
        <w:t>沪建质安</w:t>
      </w:r>
      <w:proofErr w:type="gramEnd"/>
      <w:r w:rsidRPr="009D7A30">
        <w:rPr>
          <w:rFonts w:ascii="仿宋_GB2312" w:eastAsia="仿宋_GB2312" w:hAnsi="Calibri" w:hint="eastAsia"/>
          <w:szCs w:val="21"/>
        </w:rPr>
        <w:t>联（2017）658号</w:t>
      </w:r>
    </w:p>
    <w:p w:rsidR="009D7A30" w:rsidRPr="009D7A30" w:rsidRDefault="009D7A30" w:rsidP="009D7A30">
      <w:pPr>
        <w:spacing w:line="520" w:lineRule="exact"/>
        <w:rPr>
          <w:rFonts w:ascii="仿宋_GB2312" w:eastAsia="仿宋_GB2312" w:hAnsi="Calibri"/>
          <w:sz w:val="28"/>
          <w:szCs w:val="28"/>
        </w:rPr>
      </w:pPr>
    </w:p>
    <w:p w:rsidR="009D7A30" w:rsidRPr="009D7A30" w:rsidRDefault="009D7A30" w:rsidP="009D7A30">
      <w:pPr>
        <w:spacing w:line="520" w:lineRule="exact"/>
        <w:rPr>
          <w:rFonts w:ascii="仿宋_GB2312" w:eastAsia="仿宋_GB2312" w:hAnsi="Calibri"/>
          <w:sz w:val="28"/>
          <w:szCs w:val="28"/>
        </w:rPr>
      </w:pPr>
      <w:r w:rsidRPr="009D7A30">
        <w:rPr>
          <w:rFonts w:ascii="仿宋_GB2312" w:eastAsia="仿宋_GB2312" w:hAnsi="Calibri" w:hint="eastAsia"/>
          <w:sz w:val="28"/>
          <w:szCs w:val="28"/>
        </w:rPr>
        <w:t>各有关单位 ：</w:t>
      </w:r>
    </w:p>
    <w:p w:rsidR="009D7A30" w:rsidRPr="009D7A30" w:rsidRDefault="009D7A30" w:rsidP="009D7A30">
      <w:pPr>
        <w:spacing w:line="520" w:lineRule="exact"/>
        <w:ind w:firstLineChars="200" w:firstLine="560"/>
        <w:rPr>
          <w:rFonts w:ascii="仿宋_GB2312" w:eastAsia="仿宋_GB2312" w:hAnsi="Calibri"/>
          <w:sz w:val="28"/>
          <w:szCs w:val="28"/>
        </w:rPr>
      </w:pPr>
      <w:r w:rsidRPr="009D7A30">
        <w:rPr>
          <w:rFonts w:ascii="仿宋_GB2312" w:eastAsia="仿宋_GB2312" w:hAnsi="Calibri" w:hint="eastAsia"/>
          <w:sz w:val="28"/>
          <w:szCs w:val="28"/>
        </w:rPr>
        <w:t>近日，全国一些地区接连发生建设工程施工群死群伤事故。2017年7月21日，本市曹安</w:t>
      </w:r>
      <w:proofErr w:type="gramStart"/>
      <w:r w:rsidRPr="009D7A30">
        <w:rPr>
          <w:rFonts w:ascii="仿宋_GB2312" w:eastAsia="仿宋_GB2312" w:hAnsi="Calibri" w:hint="eastAsia"/>
          <w:sz w:val="28"/>
          <w:szCs w:val="28"/>
        </w:rPr>
        <w:t>公路华</w:t>
      </w:r>
      <w:proofErr w:type="gramEnd"/>
      <w:r w:rsidRPr="009D7A30">
        <w:rPr>
          <w:rFonts w:ascii="仿宋_GB2312" w:eastAsia="仿宋_GB2312" w:hAnsi="Calibri" w:hint="eastAsia"/>
          <w:sz w:val="28"/>
          <w:szCs w:val="28"/>
        </w:rPr>
        <w:t>江路口</w:t>
      </w:r>
      <w:proofErr w:type="gramStart"/>
      <w:r w:rsidRPr="009D7A30">
        <w:rPr>
          <w:rFonts w:ascii="仿宋_GB2312" w:eastAsia="仿宋_GB2312" w:hAnsi="Calibri" w:hint="eastAsia"/>
          <w:sz w:val="28"/>
          <w:szCs w:val="28"/>
        </w:rPr>
        <w:t>一</w:t>
      </w:r>
      <w:proofErr w:type="gramEnd"/>
      <w:r w:rsidRPr="009D7A30">
        <w:rPr>
          <w:rFonts w:ascii="仿宋_GB2312" w:eastAsia="仿宋_GB2312" w:hAnsi="Calibri" w:hint="eastAsia"/>
          <w:sz w:val="28"/>
          <w:szCs w:val="28"/>
        </w:rPr>
        <w:t>工地在实施房屋拆除作业时，发生楼房部分倒塌，造成5人死亡1人受伤的较大生产安全事故，给人民群众生命财产造成重大损失。为认真贯彻落实《国务院安全生产委员会关于开展全国安全生产大检查的通知》（</w:t>
      </w:r>
      <w:proofErr w:type="gramStart"/>
      <w:r w:rsidRPr="009D7A30">
        <w:rPr>
          <w:rFonts w:ascii="仿宋_GB2312" w:eastAsia="仿宋_GB2312" w:hAnsi="Calibri" w:hint="eastAsia"/>
          <w:sz w:val="28"/>
          <w:szCs w:val="28"/>
        </w:rPr>
        <w:t>安委明电</w:t>
      </w:r>
      <w:proofErr w:type="gramEnd"/>
      <w:r w:rsidRPr="009D7A30">
        <w:rPr>
          <w:rFonts w:ascii="仿宋_GB2312" w:eastAsia="仿宋_GB2312" w:hAnsi="Calibri" w:hint="eastAsia"/>
          <w:sz w:val="28"/>
          <w:szCs w:val="28"/>
        </w:rPr>
        <w:t>〔2017〕3号）、《国务院安委会办公室关于近期接连发生安全问题的紧急通报》（安委办明电〔2017〕7号）和市领导有关指示精神，切实加强建设工程施工安全生产工作，各级交通、市政、房建、水务水利、拆房、园林绿化等专业管理部门，要进一步落实参</w:t>
      </w:r>
      <w:proofErr w:type="gramStart"/>
      <w:r w:rsidRPr="009D7A30">
        <w:rPr>
          <w:rFonts w:ascii="仿宋_GB2312" w:eastAsia="仿宋_GB2312" w:hAnsi="Calibri" w:hint="eastAsia"/>
          <w:sz w:val="28"/>
          <w:szCs w:val="28"/>
        </w:rPr>
        <w:t>建各方</w:t>
      </w:r>
      <w:proofErr w:type="gramEnd"/>
      <w:r w:rsidRPr="009D7A30">
        <w:rPr>
          <w:rFonts w:ascii="仿宋_GB2312" w:eastAsia="仿宋_GB2312" w:hAnsi="Calibri" w:hint="eastAsia"/>
          <w:sz w:val="28"/>
          <w:szCs w:val="28"/>
        </w:rPr>
        <w:t>主体责任和措施，立即开展建设工程专项安全检查，有效防范建设工程生产安全事故，坚决遏制重特大事故发生。现将有关事项通知如下：</w:t>
      </w:r>
    </w:p>
    <w:p w:rsidR="009D7A30" w:rsidRPr="009D7A30" w:rsidRDefault="009D7A30" w:rsidP="009D7A30">
      <w:pPr>
        <w:spacing w:line="520" w:lineRule="exact"/>
        <w:ind w:firstLineChars="200" w:firstLine="560"/>
        <w:rPr>
          <w:rFonts w:ascii="仿宋_GB2312" w:eastAsia="仿宋_GB2312" w:hAnsi="Calibri"/>
          <w:sz w:val="28"/>
          <w:szCs w:val="28"/>
        </w:rPr>
      </w:pPr>
      <w:r w:rsidRPr="009D7A30">
        <w:rPr>
          <w:rFonts w:ascii="仿宋_GB2312" w:eastAsia="仿宋_GB2312" w:hAnsi="Calibri" w:hint="eastAsia"/>
          <w:sz w:val="28"/>
          <w:szCs w:val="28"/>
        </w:rPr>
        <w:t>一、切实增强安全生产的责任感</w:t>
      </w:r>
    </w:p>
    <w:p w:rsidR="009D7A30" w:rsidRPr="009D7A30" w:rsidRDefault="009D7A30" w:rsidP="009D7A30">
      <w:pPr>
        <w:spacing w:line="520" w:lineRule="exact"/>
        <w:ind w:firstLineChars="200" w:firstLine="560"/>
        <w:rPr>
          <w:rFonts w:ascii="仿宋_GB2312" w:eastAsia="仿宋_GB2312" w:hAnsi="Calibri"/>
          <w:sz w:val="28"/>
          <w:szCs w:val="28"/>
        </w:rPr>
      </w:pPr>
      <w:r w:rsidRPr="009D7A30">
        <w:rPr>
          <w:rFonts w:ascii="仿宋_GB2312" w:eastAsia="仿宋_GB2312" w:hAnsi="Calibri" w:hint="eastAsia"/>
          <w:sz w:val="28"/>
          <w:szCs w:val="28"/>
        </w:rPr>
        <w:t>各级安全监管部门、建设行政管理部门和专业建设工程监管部门要认真</w:t>
      </w:r>
      <w:proofErr w:type="gramStart"/>
      <w:r w:rsidRPr="009D7A30">
        <w:rPr>
          <w:rFonts w:ascii="仿宋_GB2312" w:eastAsia="仿宋_GB2312" w:hAnsi="Calibri" w:hint="eastAsia"/>
          <w:sz w:val="28"/>
          <w:szCs w:val="28"/>
        </w:rPr>
        <w:t>研判当前</w:t>
      </w:r>
      <w:proofErr w:type="gramEnd"/>
      <w:r w:rsidRPr="009D7A30">
        <w:rPr>
          <w:rFonts w:ascii="仿宋_GB2312" w:eastAsia="仿宋_GB2312" w:hAnsi="Calibri" w:hint="eastAsia"/>
          <w:sz w:val="28"/>
          <w:szCs w:val="28"/>
        </w:rPr>
        <w:t>安全生产面临的严峻形势，认真分析当前安全生产工作中存在的薄弱环节和突出问题，进一步增强做好安全生产工作的高度责任感和使命感。对建设工程施工安全生产工作，要从组织领导、工作制度、监督机构和管理方法手段等方面，采取有效措施，确保安全生产各项责</w:t>
      </w:r>
      <w:r w:rsidRPr="009D7A30">
        <w:rPr>
          <w:rFonts w:ascii="仿宋_GB2312" w:eastAsia="仿宋_GB2312" w:hAnsi="Calibri" w:hint="eastAsia"/>
          <w:sz w:val="28"/>
          <w:szCs w:val="28"/>
        </w:rPr>
        <w:lastRenderedPageBreak/>
        <w:t>任落到实处。要按照“党政同责、一岗双责、齐抓共管、失职追责”的原则，全面掌握安全生产责任制落实情况，特别是要落实对施工过程中存在重大危险源的施工责任制。</w:t>
      </w:r>
    </w:p>
    <w:p w:rsidR="009D7A30" w:rsidRPr="009D7A30" w:rsidRDefault="009D7A30" w:rsidP="009D7A30">
      <w:pPr>
        <w:spacing w:line="520" w:lineRule="exact"/>
        <w:ind w:firstLineChars="200" w:firstLine="560"/>
        <w:rPr>
          <w:rFonts w:ascii="仿宋_GB2312" w:eastAsia="仿宋_GB2312" w:hAnsi="Calibri"/>
          <w:sz w:val="28"/>
          <w:szCs w:val="28"/>
        </w:rPr>
      </w:pPr>
      <w:r w:rsidRPr="009D7A30">
        <w:rPr>
          <w:rFonts w:ascii="仿宋_GB2312" w:eastAsia="仿宋_GB2312" w:hAnsi="Calibri" w:hint="eastAsia"/>
          <w:sz w:val="28"/>
          <w:szCs w:val="28"/>
        </w:rPr>
        <w:t>各参建单位要全面落实安全生产主体责任，严格落实各项安全生产措施。要充分认识高温作业、集中复工、赶工期、抢任务对建设工程施工安全生产的挑战，深入分析本单位建设工程施工安全生产领域存在的薄弱环节，认真组织开展自查自纠，举一反三，有针对性地采取强有力的应对手段及措施，强化安全隐患整改，堵塞漏洞，严防事故发生。</w:t>
      </w:r>
    </w:p>
    <w:p w:rsidR="009D7A30" w:rsidRPr="009D7A30" w:rsidRDefault="009D7A30" w:rsidP="009D7A30">
      <w:pPr>
        <w:spacing w:line="520" w:lineRule="exact"/>
        <w:ind w:firstLineChars="200" w:firstLine="560"/>
        <w:rPr>
          <w:rFonts w:ascii="仿宋_GB2312" w:eastAsia="仿宋_GB2312" w:hAnsi="Calibri"/>
          <w:sz w:val="28"/>
          <w:szCs w:val="28"/>
        </w:rPr>
      </w:pPr>
      <w:r w:rsidRPr="009D7A30">
        <w:rPr>
          <w:rFonts w:ascii="仿宋_GB2312" w:eastAsia="仿宋_GB2312" w:hAnsi="Calibri" w:hint="eastAsia"/>
          <w:sz w:val="28"/>
          <w:szCs w:val="28"/>
        </w:rPr>
        <w:t>二、组织开展安全生产检查</w:t>
      </w:r>
    </w:p>
    <w:p w:rsidR="009D7A30" w:rsidRPr="009D7A30" w:rsidRDefault="009D7A30" w:rsidP="009D7A30">
      <w:pPr>
        <w:spacing w:line="520" w:lineRule="exact"/>
        <w:ind w:firstLineChars="200" w:firstLine="560"/>
        <w:rPr>
          <w:rFonts w:ascii="仿宋_GB2312" w:eastAsia="仿宋_GB2312" w:hAnsi="Calibri"/>
          <w:sz w:val="28"/>
          <w:szCs w:val="28"/>
        </w:rPr>
      </w:pPr>
      <w:r w:rsidRPr="009D7A30">
        <w:rPr>
          <w:rFonts w:ascii="仿宋_GB2312" w:eastAsia="仿宋_GB2312" w:hAnsi="Calibri" w:hint="eastAsia"/>
          <w:sz w:val="28"/>
          <w:szCs w:val="28"/>
        </w:rPr>
        <w:t>各级建设行政管理部门和专业建设工程监管部门要立即组织开展建设工程施工安全生产大检查，结合《关于开展2017年建设工程施工安全专项整治工作的通知》（</w:t>
      </w:r>
      <w:proofErr w:type="gramStart"/>
      <w:r w:rsidRPr="009D7A30">
        <w:rPr>
          <w:rFonts w:ascii="仿宋_GB2312" w:eastAsia="仿宋_GB2312" w:hAnsi="Calibri" w:hint="eastAsia"/>
          <w:sz w:val="28"/>
          <w:szCs w:val="28"/>
        </w:rPr>
        <w:t>建安办</w:t>
      </w:r>
      <w:proofErr w:type="gramEnd"/>
      <w:r w:rsidRPr="009D7A30">
        <w:rPr>
          <w:rFonts w:ascii="仿宋_GB2312" w:eastAsia="仿宋_GB2312" w:hAnsi="Calibri" w:hint="eastAsia"/>
          <w:sz w:val="28"/>
          <w:szCs w:val="28"/>
        </w:rPr>
        <w:t>函〔2017〕3号）要求，在安全生产主体责任落实、重大危险源分部分项工程安全管理、大型施工机械安全管理、安全专项施工方案管理等方面，全面排查安全风险隐患。要依法严厉查处未按规定履行法定建设程序、转包、违法分包和以包代管等行为。对排查出的重大隐患和违法违规行为，要坚决责令停工整改，不能立即整改的，要逐一制定整改方案，做到整改责任、措施、资金、时限和预案“五落实”，及时消除施工现场存在的各类安全隐患。</w:t>
      </w:r>
    </w:p>
    <w:p w:rsidR="009D7A30" w:rsidRPr="009D7A30" w:rsidRDefault="009D7A30" w:rsidP="009D7A30">
      <w:pPr>
        <w:spacing w:line="520" w:lineRule="exact"/>
        <w:ind w:firstLineChars="200" w:firstLine="560"/>
        <w:rPr>
          <w:rFonts w:ascii="仿宋_GB2312" w:eastAsia="仿宋_GB2312" w:hAnsi="Calibri"/>
          <w:sz w:val="28"/>
          <w:szCs w:val="28"/>
        </w:rPr>
      </w:pPr>
      <w:r w:rsidRPr="009D7A30">
        <w:rPr>
          <w:rFonts w:ascii="仿宋_GB2312" w:eastAsia="仿宋_GB2312" w:hAnsi="Calibri" w:hint="eastAsia"/>
          <w:sz w:val="28"/>
          <w:szCs w:val="28"/>
        </w:rPr>
        <w:t>三、加强高温季节施工现场管理</w:t>
      </w:r>
    </w:p>
    <w:p w:rsidR="009D7A30" w:rsidRPr="009D7A30" w:rsidRDefault="009D7A30" w:rsidP="009D7A30">
      <w:pPr>
        <w:spacing w:line="520" w:lineRule="exact"/>
        <w:ind w:firstLineChars="200" w:firstLine="560"/>
        <w:rPr>
          <w:rFonts w:ascii="仿宋_GB2312" w:eastAsia="仿宋_GB2312" w:hAnsi="Calibri"/>
          <w:sz w:val="28"/>
          <w:szCs w:val="28"/>
        </w:rPr>
      </w:pPr>
      <w:r w:rsidRPr="009D7A30">
        <w:rPr>
          <w:rFonts w:ascii="仿宋_GB2312" w:eastAsia="仿宋_GB2312" w:hAnsi="Calibri" w:hint="eastAsia"/>
          <w:sz w:val="28"/>
          <w:szCs w:val="28"/>
        </w:rPr>
        <w:t>本市已进入盛夏高温季节，要切实做好防暑降温工作，防止出现人身伤害，保证建设工程质量和安全。</w:t>
      </w:r>
    </w:p>
    <w:p w:rsidR="009D7A30" w:rsidRPr="009D7A30" w:rsidRDefault="009D7A30" w:rsidP="009D7A30">
      <w:pPr>
        <w:spacing w:line="520" w:lineRule="exact"/>
        <w:ind w:firstLineChars="200" w:firstLine="560"/>
        <w:rPr>
          <w:rFonts w:ascii="仿宋_GB2312" w:eastAsia="仿宋_GB2312" w:hAnsi="Calibri"/>
          <w:sz w:val="28"/>
          <w:szCs w:val="28"/>
        </w:rPr>
      </w:pPr>
      <w:r w:rsidRPr="009D7A30">
        <w:rPr>
          <w:rFonts w:ascii="仿宋_GB2312" w:eastAsia="仿宋_GB2312" w:hAnsi="Calibri" w:hint="eastAsia"/>
          <w:sz w:val="28"/>
          <w:szCs w:val="28"/>
        </w:rPr>
        <w:t>各建设行政管理部门和专业建设工程监管部门，应根据各自专业建设工程施工特点，科学合理地确定户外施工作息时间。因高温天气停止工作、缩短工作时间的，施工单位不得扣除或降低作业人员工资，建设单位不得以工期为由强制要求施工单位和作业人员违反高温户外施工作息时间。</w:t>
      </w:r>
    </w:p>
    <w:p w:rsidR="009D7A30" w:rsidRPr="009D7A30" w:rsidRDefault="009D7A30" w:rsidP="009D7A30">
      <w:pPr>
        <w:spacing w:line="520" w:lineRule="exact"/>
        <w:ind w:firstLineChars="200" w:firstLine="560"/>
        <w:rPr>
          <w:rFonts w:ascii="仿宋_GB2312" w:eastAsia="仿宋_GB2312" w:hAnsi="Calibri"/>
          <w:sz w:val="28"/>
          <w:szCs w:val="28"/>
        </w:rPr>
      </w:pPr>
      <w:r w:rsidRPr="009D7A30">
        <w:rPr>
          <w:rFonts w:ascii="仿宋_GB2312" w:eastAsia="仿宋_GB2312" w:hAnsi="Calibri" w:hint="eastAsia"/>
          <w:sz w:val="28"/>
          <w:szCs w:val="28"/>
        </w:rPr>
        <w:lastRenderedPageBreak/>
        <w:t>各参建单位应严格执行带班制度，保证施工现场安全管理体系正常运行；施工单位的企业负责人按照带班检查要求，每月不少于一次对所属工地检查，检查项目安全生产管理体系运行情况。监理单位要督促施工单位落实带班生产制度；现场施工单位和监理单位的项目部管理班子的工作时间，必须与现场施工班组的工作时间一致，特别是目前“做两头、歇中间”的高温施工作业季节以及其它节假日、双休日，必须做到管理到位，确保安全生产管理体系正常运作。</w:t>
      </w:r>
    </w:p>
    <w:p w:rsidR="009D7A30" w:rsidRPr="009D7A30" w:rsidRDefault="009D7A30" w:rsidP="009D7A30">
      <w:pPr>
        <w:spacing w:line="520" w:lineRule="exact"/>
        <w:ind w:firstLineChars="200" w:firstLine="560"/>
        <w:rPr>
          <w:rFonts w:ascii="仿宋_GB2312" w:eastAsia="仿宋_GB2312" w:hAnsi="Calibri"/>
          <w:sz w:val="28"/>
          <w:szCs w:val="28"/>
        </w:rPr>
      </w:pPr>
      <w:r w:rsidRPr="009D7A30">
        <w:rPr>
          <w:rFonts w:ascii="仿宋_GB2312" w:eastAsia="仿宋_GB2312" w:hAnsi="Calibri" w:hint="eastAsia"/>
          <w:sz w:val="28"/>
          <w:szCs w:val="28"/>
        </w:rPr>
        <w:t>各施工单位应严格做好施工前的安全教育和安全交底工作，总包单</w:t>
      </w:r>
      <w:proofErr w:type="gramStart"/>
      <w:r w:rsidRPr="009D7A30">
        <w:rPr>
          <w:rFonts w:ascii="仿宋_GB2312" w:eastAsia="仿宋_GB2312" w:hAnsi="Calibri" w:hint="eastAsia"/>
          <w:sz w:val="28"/>
          <w:szCs w:val="28"/>
        </w:rPr>
        <w:t>位项目</w:t>
      </w:r>
      <w:proofErr w:type="gramEnd"/>
      <w:r w:rsidRPr="009D7A30">
        <w:rPr>
          <w:rFonts w:ascii="仿宋_GB2312" w:eastAsia="仿宋_GB2312" w:hAnsi="Calibri" w:hint="eastAsia"/>
          <w:sz w:val="28"/>
          <w:szCs w:val="28"/>
        </w:rPr>
        <w:t>部必须加强每天开工前的安全生产条件检查，落实安全技术措施，做好针对高温季节的安全教育、安全交底和应急培训工作，同时督促各分包单位和劳务作业班组做好班前的安全教育和安全交底工作，确保安全生产。</w:t>
      </w:r>
    </w:p>
    <w:p w:rsidR="009D7A30" w:rsidRPr="009D7A30" w:rsidRDefault="009D7A30" w:rsidP="009D7A30">
      <w:pPr>
        <w:spacing w:line="520" w:lineRule="exact"/>
        <w:ind w:firstLineChars="200" w:firstLine="560"/>
        <w:rPr>
          <w:rFonts w:ascii="仿宋_GB2312" w:eastAsia="仿宋_GB2312" w:hAnsi="Calibri"/>
          <w:sz w:val="28"/>
          <w:szCs w:val="28"/>
        </w:rPr>
      </w:pPr>
      <w:r w:rsidRPr="009D7A30">
        <w:rPr>
          <w:rFonts w:ascii="仿宋_GB2312" w:eastAsia="仿宋_GB2312" w:hAnsi="Calibri" w:hint="eastAsia"/>
          <w:sz w:val="28"/>
          <w:szCs w:val="28"/>
        </w:rPr>
        <w:t>四、严肃追究生产安全事故责任</w:t>
      </w:r>
    </w:p>
    <w:p w:rsidR="009D7A30" w:rsidRPr="009D7A30" w:rsidRDefault="009D7A30" w:rsidP="009D7A30">
      <w:pPr>
        <w:spacing w:line="520" w:lineRule="exact"/>
        <w:ind w:firstLineChars="200" w:firstLine="560"/>
        <w:rPr>
          <w:rFonts w:ascii="仿宋_GB2312" w:eastAsia="仿宋_GB2312" w:hAnsi="Calibri"/>
          <w:sz w:val="28"/>
          <w:szCs w:val="28"/>
        </w:rPr>
      </w:pPr>
      <w:r w:rsidRPr="009D7A30">
        <w:rPr>
          <w:rFonts w:ascii="仿宋_GB2312" w:eastAsia="仿宋_GB2312" w:hAnsi="Calibri" w:hint="eastAsia"/>
          <w:sz w:val="28"/>
          <w:szCs w:val="28"/>
        </w:rPr>
        <w:t>各级安全监管部门、建设行政管理部门和专业建设工程监管部门要严格按照“四不放过”的原则，严格落实责任追究。要严格执行事故查处挂牌督办制度。要加大事故整改措施落实的监督检查力度，督促相关单位深刻吸取事故教训，落实切实有效的整改措施，加强建设工程施工安全生产工作。要依法严肃追究事故责任单位和人员的责任，对安全生产主体责任不落实的企业和人员要加大处罚力度，依法暂扣或吊销安全生产许可证，并依照有关规定在招投标、资质管理等方面予以限制，切实起到震慑和警示作用。</w:t>
      </w:r>
    </w:p>
    <w:p w:rsidR="009D7A30" w:rsidRPr="009D7A30" w:rsidRDefault="00D30C8F" w:rsidP="00D30C8F">
      <w:pPr>
        <w:spacing w:line="520" w:lineRule="exact"/>
        <w:ind w:firstLineChars="200" w:firstLine="560"/>
        <w:rPr>
          <w:rFonts w:ascii="仿宋_GB2312" w:eastAsia="仿宋_GB2312" w:hAnsi="Calibri"/>
          <w:sz w:val="28"/>
          <w:szCs w:val="28"/>
        </w:rPr>
      </w:pPr>
      <w:r>
        <w:rPr>
          <w:rFonts w:ascii="仿宋_GB2312" w:eastAsia="仿宋_GB2312" w:hAnsi="Calibri"/>
          <w:sz w:val="28"/>
          <w:szCs w:val="28"/>
        </w:rPr>
        <w:t xml:space="preserve"> </w:t>
      </w:r>
    </w:p>
    <w:p w:rsidR="009D7A30" w:rsidRPr="009D7A30" w:rsidRDefault="009D7A30" w:rsidP="009D7A30">
      <w:pPr>
        <w:spacing w:line="520" w:lineRule="exact"/>
        <w:ind w:firstLineChars="200" w:firstLine="560"/>
        <w:jc w:val="right"/>
        <w:rPr>
          <w:rFonts w:ascii="仿宋_GB2312" w:eastAsia="仿宋_GB2312" w:hAnsi="Calibri"/>
          <w:sz w:val="28"/>
          <w:szCs w:val="28"/>
        </w:rPr>
      </w:pPr>
      <w:r w:rsidRPr="009D7A30">
        <w:rPr>
          <w:rFonts w:ascii="仿宋_GB2312" w:eastAsia="仿宋_GB2312" w:hAnsi="Calibri" w:hint="eastAsia"/>
          <w:sz w:val="28"/>
          <w:szCs w:val="28"/>
        </w:rPr>
        <w:t xml:space="preserve">　　上海市住房和城乡建设管理委员会</w:t>
      </w:r>
    </w:p>
    <w:p w:rsidR="009D7A30" w:rsidRPr="009D7A30" w:rsidRDefault="009D7A30" w:rsidP="009D7A30">
      <w:pPr>
        <w:spacing w:line="520" w:lineRule="exact"/>
        <w:ind w:firstLineChars="200" w:firstLine="560"/>
        <w:jc w:val="right"/>
        <w:rPr>
          <w:rFonts w:ascii="仿宋_GB2312" w:eastAsia="仿宋_GB2312" w:hAnsi="Calibri"/>
          <w:sz w:val="28"/>
          <w:szCs w:val="28"/>
        </w:rPr>
      </w:pPr>
      <w:r w:rsidRPr="009D7A30">
        <w:rPr>
          <w:rFonts w:ascii="仿宋_GB2312" w:eastAsia="仿宋_GB2312" w:hAnsi="Calibri" w:hint="eastAsia"/>
          <w:sz w:val="28"/>
          <w:szCs w:val="28"/>
        </w:rPr>
        <w:t xml:space="preserve">　　上海市安全生产监督管理局</w:t>
      </w:r>
    </w:p>
    <w:p w:rsidR="009D7A30" w:rsidRDefault="009D7A30" w:rsidP="009D7A30">
      <w:pPr>
        <w:spacing w:line="520" w:lineRule="exact"/>
        <w:jc w:val="right"/>
        <w:rPr>
          <w:rFonts w:ascii="仿宋_GB2312" w:eastAsia="仿宋_GB2312" w:hAnsi="Calibri" w:hint="eastAsia"/>
          <w:sz w:val="28"/>
          <w:szCs w:val="28"/>
        </w:rPr>
      </w:pPr>
      <w:r w:rsidRPr="009D7A30">
        <w:rPr>
          <w:rFonts w:ascii="仿宋_GB2312" w:eastAsia="仿宋_GB2312" w:hAnsi="Calibri" w:hint="eastAsia"/>
          <w:sz w:val="28"/>
          <w:szCs w:val="28"/>
        </w:rPr>
        <w:t xml:space="preserve">　　2017年7月22日</w:t>
      </w:r>
    </w:p>
    <w:p w:rsidR="00F46263" w:rsidRPr="00F46263" w:rsidRDefault="00A8316A" w:rsidP="00A72179">
      <w:pPr>
        <w:pStyle w:val="3"/>
        <w:spacing w:line="520" w:lineRule="exact"/>
      </w:pPr>
      <w:r>
        <w:rPr>
          <w:rFonts w:hint="eastAsia"/>
        </w:rPr>
        <w:t>【公示公告】</w:t>
      </w:r>
    </w:p>
    <w:p w:rsidR="00C93EB5" w:rsidRPr="00F46263" w:rsidRDefault="00A8316A" w:rsidP="00C93EB5">
      <w:pPr>
        <w:jc w:val="center"/>
        <w:rPr>
          <w:rFonts w:ascii="黑体" w:eastAsia="黑体" w:hint="eastAsia"/>
          <w:b/>
          <w:color w:val="000000" w:themeColor="text1"/>
          <w:sz w:val="32"/>
          <w:szCs w:val="32"/>
        </w:rPr>
      </w:pPr>
      <w:r w:rsidRPr="00F46263">
        <w:rPr>
          <w:rFonts w:ascii="黑体" w:eastAsia="黑体" w:hint="eastAsia"/>
          <w:b/>
          <w:color w:val="000000" w:themeColor="text1"/>
          <w:sz w:val="32"/>
          <w:szCs w:val="32"/>
        </w:rPr>
        <w:lastRenderedPageBreak/>
        <w:t>金山区建筑管理署 2017年</w:t>
      </w:r>
      <w:r w:rsidR="008F5E63" w:rsidRPr="00F46263">
        <w:rPr>
          <w:rFonts w:ascii="黑体" w:eastAsia="黑体" w:hint="eastAsia"/>
          <w:b/>
          <w:color w:val="000000" w:themeColor="text1"/>
          <w:sz w:val="32"/>
          <w:szCs w:val="32"/>
        </w:rPr>
        <w:t>7</w:t>
      </w:r>
      <w:r w:rsidRPr="00F46263">
        <w:rPr>
          <w:rFonts w:ascii="黑体" w:eastAsia="黑体" w:hint="eastAsia"/>
          <w:b/>
          <w:color w:val="000000" w:themeColor="text1"/>
          <w:sz w:val="32"/>
          <w:szCs w:val="32"/>
        </w:rPr>
        <w:t>月份资质受理情况</w:t>
      </w:r>
    </w:p>
    <w:p w:rsidR="00F46263" w:rsidRDefault="00A8316A" w:rsidP="00A8316A">
      <w:pPr>
        <w:rPr>
          <w:rFonts w:ascii="仿宋_GB2312" w:eastAsia="仿宋_GB2312"/>
          <w:b/>
          <w:sz w:val="24"/>
          <w:szCs w:val="24"/>
        </w:rPr>
      </w:pPr>
      <w:r>
        <w:rPr>
          <w:rFonts w:ascii="仿宋_GB2312" w:eastAsia="仿宋_GB2312" w:hint="eastAsia"/>
          <w:b/>
          <w:sz w:val="24"/>
          <w:szCs w:val="24"/>
        </w:rPr>
        <w:t>新资质审批（施工资质）:</w:t>
      </w:r>
      <w:r w:rsidR="00F46263">
        <w:rPr>
          <w:rFonts w:ascii="仿宋_GB2312" w:eastAsia="仿宋_GB2312" w:hint="eastAsia"/>
          <w:b/>
          <w:sz w:val="24"/>
          <w:szCs w:val="24"/>
        </w:rPr>
        <w:t>1</w:t>
      </w:r>
      <w:r w:rsidR="00F30BE3">
        <w:rPr>
          <w:rFonts w:ascii="仿宋_GB2312" w:eastAsia="仿宋_GB2312" w:hint="eastAsia"/>
          <w:b/>
          <w:sz w:val="24"/>
          <w:szCs w:val="24"/>
        </w:rPr>
        <w:t>2</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A8316A" w:rsidTr="003F74E4">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F46263" w:rsidTr="003F74E4">
        <w:trPr>
          <w:trHeight w:val="437"/>
        </w:trPr>
        <w:tc>
          <w:tcPr>
            <w:tcW w:w="1268"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2017-6-26</w:t>
            </w:r>
          </w:p>
        </w:tc>
        <w:tc>
          <w:tcPr>
            <w:tcW w:w="3660"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上海平典通信工程有限公司</w:t>
            </w:r>
          </w:p>
        </w:tc>
        <w:tc>
          <w:tcPr>
            <w:tcW w:w="3684"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通信工程三级</w:t>
            </w:r>
          </w:p>
        </w:tc>
      </w:tr>
      <w:tr w:rsidR="00F46263" w:rsidTr="003F74E4">
        <w:trPr>
          <w:trHeight w:val="437"/>
        </w:trPr>
        <w:tc>
          <w:tcPr>
            <w:tcW w:w="1268"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2017-6-26</w:t>
            </w:r>
          </w:p>
        </w:tc>
        <w:tc>
          <w:tcPr>
            <w:tcW w:w="3660"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上海镜毅消防科技发展有限公司</w:t>
            </w:r>
          </w:p>
        </w:tc>
        <w:tc>
          <w:tcPr>
            <w:tcW w:w="3684"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建筑装修装饰工程二级</w:t>
            </w:r>
          </w:p>
        </w:tc>
      </w:tr>
      <w:tr w:rsidR="00F46263" w:rsidTr="003F74E4">
        <w:trPr>
          <w:trHeight w:val="437"/>
        </w:trPr>
        <w:tc>
          <w:tcPr>
            <w:tcW w:w="1268"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2017-6-26</w:t>
            </w:r>
          </w:p>
        </w:tc>
        <w:tc>
          <w:tcPr>
            <w:tcW w:w="3660"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上海尊璜建筑装饰工程有限公司</w:t>
            </w:r>
          </w:p>
        </w:tc>
        <w:tc>
          <w:tcPr>
            <w:tcW w:w="3684"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建筑装修装饰工程二级</w:t>
            </w:r>
          </w:p>
        </w:tc>
      </w:tr>
      <w:tr w:rsidR="00F46263" w:rsidTr="003F74E4">
        <w:trPr>
          <w:trHeight w:val="437"/>
        </w:trPr>
        <w:tc>
          <w:tcPr>
            <w:tcW w:w="1268"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2017-6-26</w:t>
            </w:r>
          </w:p>
        </w:tc>
        <w:tc>
          <w:tcPr>
            <w:tcW w:w="3660"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上海泉灵土壤修复工程有限公司</w:t>
            </w:r>
          </w:p>
        </w:tc>
        <w:tc>
          <w:tcPr>
            <w:tcW w:w="3684"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环保工程三级</w:t>
            </w:r>
          </w:p>
        </w:tc>
      </w:tr>
      <w:tr w:rsidR="00F46263" w:rsidTr="003F74E4">
        <w:trPr>
          <w:trHeight w:val="437"/>
        </w:trPr>
        <w:tc>
          <w:tcPr>
            <w:tcW w:w="1268"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2017-7-4</w:t>
            </w:r>
          </w:p>
        </w:tc>
        <w:tc>
          <w:tcPr>
            <w:tcW w:w="3660"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上海雨熙照明工程有限公司</w:t>
            </w:r>
          </w:p>
        </w:tc>
        <w:tc>
          <w:tcPr>
            <w:tcW w:w="3684"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城市及道路照明工程三级</w:t>
            </w:r>
          </w:p>
        </w:tc>
      </w:tr>
      <w:tr w:rsidR="00F46263" w:rsidTr="003F74E4">
        <w:trPr>
          <w:trHeight w:val="437"/>
        </w:trPr>
        <w:tc>
          <w:tcPr>
            <w:tcW w:w="1268"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2017-7-4</w:t>
            </w:r>
          </w:p>
        </w:tc>
        <w:tc>
          <w:tcPr>
            <w:tcW w:w="3660"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上海聚隽建筑劳务有限公司</w:t>
            </w:r>
          </w:p>
        </w:tc>
        <w:tc>
          <w:tcPr>
            <w:tcW w:w="3684"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建筑劳务分包</w:t>
            </w:r>
            <w:proofErr w:type="gramStart"/>
            <w:r w:rsidRPr="00F46263">
              <w:rPr>
                <w:rFonts w:ascii="仿宋_GB2312" w:eastAsia="仿宋_GB2312" w:hint="eastAsia"/>
                <w:szCs w:val="22"/>
              </w:rPr>
              <w:t>不</w:t>
            </w:r>
            <w:proofErr w:type="gramEnd"/>
            <w:r w:rsidRPr="00F46263">
              <w:rPr>
                <w:rFonts w:ascii="仿宋_GB2312" w:eastAsia="仿宋_GB2312" w:hint="eastAsia"/>
                <w:szCs w:val="22"/>
              </w:rPr>
              <w:t>分级</w:t>
            </w:r>
          </w:p>
        </w:tc>
      </w:tr>
      <w:tr w:rsidR="00F46263" w:rsidTr="003F74E4">
        <w:trPr>
          <w:trHeight w:val="437"/>
        </w:trPr>
        <w:tc>
          <w:tcPr>
            <w:tcW w:w="1268"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2017-7-20</w:t>
            </w:r>
          </w:p>
        </w:tc>
        <w:tc>
          <w:tcPr>
            <w:tcW w:w="3660"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上海育阳通信工程有限公司</w:t>
            </w:r>
          </w:p>
        </w:tc>
        <w:tc>
          <w:tcPr>
            <w:tcW w:w="3684"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通信工程三级</w:t>
            </w:r>
          </w:p>
        </w:tc>
      </w:tr>
      <w:tr w:rsidR="00F46263" w:rsidTr="003F74E4">
        <w:trPr>
          <w:trHeight w:val="437"/>
        </w:trPr>
        <w:tc>
          <w:tcPr>
            <w:tcW w:w="1268"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2017-7-20</w:t>
            </w:r>
          </w:p>
        </w:tc>
        <w:tc>
          <w:tcPr>
            <w:tcW w:w="3660"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上海元腾通信科技有限公司</w:t>
            </w:r>
          </w:p>
        </w:tc>
        <w:tc>
          <w:tcPr>
            <w:tcW w:w="3684"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通信工程三级</w:t>
            </w:r>
          </w:p>
        </w:tc>
      </w:tr>
      <w:tr w:rsidR="00F46263" w:rsidTr="003F74E4">
        <w:trPr>
          <w:trHeight w:val="437"/>
        </w:trPr>
        <w:tc>
          <w:tcPr>
            <w:tcW w:w="1268"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2017-7-20</w:t>
            </w:r>
          </w:p>
        </w:tc>
        <w:tc>
          <w:tcPr>
            <w:tcW w:w="3660"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上海金递通信科技发展有限公司</w:t>
            </w:r>
          </w:p>
        </w:tc>
        <w:tc>
          <w:tcPr>
            <w:tcW w:w="3684"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通信工程三级</w:t>
            </w:r>
          </w:p>
        </w:tc>
      </w:tr>
      <w:tr w:rsidR="00F46263" w:rsidTr="003F74E4">
        <w:trPr>
          <w:trHeight w:val="437"/>
        </w:trPr>
        <w:tc>
          <w:tcPr>
            <w:tcW w:w="1268"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2017-7-20</w:t>
            </w:r>
          </w:p>
        </w:tc>
        <w:tc>
          <w:tcPr>
            <w:tcW w:w="3660"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上海驿动自动化科技有限公司</w:t>
            </w:r>
          </w:p>
        </w:tc>
        <w:tc>
          <w:tcPr>
            <w:tcW w:w="3684"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电子和智能化工程二级</w:t>
            </w:r>
          </w:p>
        </w:tc>
      </w:tr>
      <w:tr w:rsidR="00F46263" w:rsidTr="003F74E4">
        <w:trPr>
          <w:trHeight w:val="437"/>
        </w:trPr>
        <w:tc>
          <w:tcPr>
            <w:tcW w:w="1268"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2017-7-20</w:t>
            </w:r>
          </w:p>
        </w:tc>
        <w:tc>
          <w:tcPr>
            <w:tcW w:w="3660"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上海驭路建筑劳务有限公司</w:t>
            </w:r>
          </w:p>
        </w:tc>
        <w:tc>
          <w:tcPr>
            <w:tcW w:w="3684"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模板脚手架</w:t>
            </w:r>
            <w:proofErr w:type="gramStart"/>
            <w:r w:rsidRPr="00F46263">
              <w:rPr>
                <w:rFonts w:ascii="仿宋_GB2312" w:eastAsia="仿宋_GB2312" w:hint="eastAsia"/>
                <w:szCs w:val="22"/>
              </w:rPr>
              <w:t>不</w:t>
            </w:r>
            <w:proofErr w:type="gramEnd"/>
            <w:r w:rsidRPr="00F46263">
              <w:rPr>
                <w:rFonts w:ascii="仿宋_GB2312" w:eastAsia="仿宋_GB2312" w:hint="eastAsia"/>
                <w:szCs w:val="22"/>
              </w:rPr>
              <w:t>分级</w:t>
            </w:r>
          </w:p>
        </w:tc>
      </w:tr>
      <w:tr w:rsidR="00F46263" w:rsidTr="003F74E4">
        <w:trPr>
          <w:trHeight w:val="437"/>
        </w:trPr>
        <w:tc>
          <w:tcPr>
            <w:tcW w:w="1268"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2017-7-20</w:t>
            </w:r>
          </w:p>
        </w:tc>
        <w:tc>
          <w:tcPr>
            <w:tcW w:w="3660"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上海新挚机电安装设备有限公司</w:t>
            </w:r>
          </w:p>
        </w:tc>
        <w:tc>
          <w:tcPr>
            <w:tcW w:w="3684"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建筑机电安装工程三级</w:t>
            </w:r>
          </w:p>
        </w:tc>
      </w:tr>
    </w:tbl>
    <w:p w:rsidR="00A8316A" w:rsidRDefault="00A8316A" w:rsidP="00A8316A">
      <w:pPr>
        <w:textAlignment w:val="center"/>
        <w:rPr>
          <w:rFonts w:ascii="仿宋_GB2312" w:eastAsia="仿宋_GB2312"/>
          <w:b/>
          <w:sz w:val="24"/>
          <w:szCs w:val="24"/>
        </w:rPr>
      </w:pPr>
    </w:p>
    <w:p w:rsidR="00F46263" w:rsidRDefault="00A8316A" w:rsidP="00A8316A">
      <w:pPr>
        <w:textAlignment w:val="center"/>
        <w:rPr>
          <w:rFonts w:ascii="仿宋_GB2312" w:eastAsia="仿宋_GB2312"/>
          <w:b/>
          <w:sz w:val="24"/>
          <w:szCs w:val="24"/>
        </w:rPr>
      </w:pPr>
      <w:r>
        <w:rPr>
          <w:rFonts w:ascii="仿宋_GB2312" w:eastAsia="仿宋_GB2312" w:hint="eastAsia"/>
          <w:b/>
          <w:sz w:val="24"/>
          <w:szCs w:val="24"/>
        </w:rPr>
        <w:t>增项企业（施工资质）:</w:t>
      </w:r>
      <w:r w:rsidR="00F30BE3">
        <w:rPr>
          <w:rFonts w:ascii="仿宋_GB2312" w:eastAsia="仿宋_GB2312" w:hint="eastAsia"/>
          <w:b/>
          <w:sz w:val="24"/>
          <w:szCs w:val="24"/>
        </w:rPr>
        <w:t>7</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A8316A" w:rsidTr="003F74E4">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F46263" w:rsidTr="003F74E4">
        <w:trPr>
          <w:trHeight w:val="437"/>
        </w:trPr>
        <w:tc>
          <w:tcPr>
            <w:tcW w:w="1268"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2017-6-26</w:t>
            </w:r>
          </w:p>
        </w:tc>
        <w:tc>
          <w:tcPr>
            <w:tcW w:w="3660"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上海锦玛建设工程有限公司</w:t>
            </w:r>
          </w:p>
        </w:tc>
        <w:tc>
          <w:tcPr>
            <w:tcW w:w="3684"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建筑工程三级</w:t>
            </w:r>
          </w:p>
        </w:tc>
      </w:tr>
      <w:tr w:rsidR="00F46263" w:rsidTr="003F74E4">
        <w:trPr>
          <w:trHeight w:val="437"/>
        </w:trPr>
        <w:tc>
          <w:tcPr>
            <w:tcW w:w="1268"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2017-6-26</w:t>
            </w:r>
          </w:p>
        </w:tc>
        <w:tc>
          <w:tcPr>
            <w:tcW w:w="3660"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上海盛秋市政工程有限公司</w:t>
            </w:r>
          </w:p>
        </w:tc>
        <w:tc>
          <w:tcPr>
            <w:tcW w:w="3684"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建筑劳务分包</w:t>
            </w:r>
            <w:proofErr w:type="gramStart"/>
            <w:r w:rsidRPr="00F46263">
              <w:rPr>
                <w:rFonts w:ascii="仿宋_GB2312" w:eastAsia="仿宋_GB2312" w:hint="eastAsia"/>
                <w:szCs w:val="22"/>
              </w:rPr>
              <w:t>不</w:t>
            </w:r>
            <w:proofErr w:type="gramEnd"/>
            <w:r w:rsidRPr="00F46263">
              <w:rPr>
                <w:rFonts w:ascii="仿宋_GB2312" w:eastAsia="仿宋_GB2312" w:hint="eastAsia"/>
                <w:szCs w:val="22"/>
              </w:rPr>
              <w:t>分级</w:t>
            </w:r>
          </w:p>
        </w:tc>
      </w:tr>
      <w:tr w:rsidR="00F46263" w:rsidTr="003F74E4">
        <w:trPr>
          <w:trHeight w:val="437"/>
        </w:trPr>
        <w:tc>
          <w:tcPr>
            <w:tcW w:w="1268"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2017-7-4</w:t>
            </w:r>
          </w:p>
        </w:tc>
        <w:tc>
          <w:tcPr>
            <w:tcW w:w="3660"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上海安质建设工程有限公司</w:t>
            </w:r>
          </w:p>
        </w:tc>
        <w:tc>
          <w:tcPr>
            <w:tcW w:w="3684"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 xml:space="preserve"> 建筑装修装饰工程二级</w:t>
            </w:r>
          </w:p>
        </w:tc>
      </w:tr>
      <w:tr w:rsidR="00F46263" w:rsidTr="003F74E4">
        <w:trPr>
          <w:trHeight w:val="437"/>
        </w:trPr>
        <w:tc>
          <w:tcPr>
            <w:tcW w:w="1268"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2017-7-4</w:t>
            </w:r>
          </w:p>
        </w:tc>
        <w:tc>
          <w:tcPr>
            <w:tcW w:w="3660"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上海金山居行建筑工程有限公司</w:t>
            </w:r>
          </w:p>
        </w:tc>
        <w:tc>
          <w:tcPr>
            <w:tcW w:w="3684"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建筑劳务分包</w:t>
            </w:r>
            <w:proofErr w:type="gramStart"/>
            <w:r w:rsidRPr="00F46263">
              <w:rPr>
                <w:rFonts w:ascii="仿宋_GB2312" w:eastAsia="仿宋_GB2312" w:hint="eastAsia"/>
                <w:szCs w:val="22"/>
              </w:rPr>
              <w:t>不</w:t>
            </w:r>
            <w:proofErr w:type="gramEnd"/>
            <w:r w:rsidRPr="00F46263">
              <w:rPr>
                <w:rFonts w:ascii="仿宋_GB2312" w:eastAsia="仿宋_GB2312" w:hint="eastAsia"/>
                <w:szCs w:val="22"/>
              </w:rPr>
              <w:t>分级</w:t>
            </w:r>
          </w:p>
        </w:tc>
      </w:tr>
      <w:tr w:rsidR="00F46263" w:rsidTr="003F74E4">
        <w:trPr>
          <w:trHeight w:val="437"/>
        </w:trPr>
        <w:tc>
          <w:tcPr>
            <w:tcW w:w="1268"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2017-7-4</w:t>
            </w:r>
          </w:p>
        </w:tc>
        <w:tc>
          <w:tcPr>
            <w:tcW w:w="3660"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上海久弘建设工程有限公司</w:t>
            </w:r>
          </w:p>
        </w:tc>
        <w:tc>
          <w:tcPr>
            <w:tcW w:w="3684"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建筑装修装饰工程二级</w:t>
            </w:r>
          </w:p>
        </w:tc>
      </w:tr>
      <w:tr w:rsidR="00F46263" w:rsidTr="003F74E4">
        <w:trPr>
          <w:trHeight w:val="437"/>
        </w:trPr>
        <w:tc>
          <w:tcPr>
            <w:tcW w:w="1268"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2017-7-4</w:t>
            </w:r>
          </w:p>
        </w:tc>
        <w:tc>
          <w:tcPr>
            <w:tcW w:w="3660"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上海泽天机电科技有限公司</w:t>
            </w:r>
          </w:p>
        </w:tc>
        <w:tc>
          <w:tcPr>
            <w:tcW w:w="3684"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建筑劳务分包</w:t>
            </w:r>
            <w:proofErr w:type="gramStart"/>
            <w:r w:rsidRPr="00F46263">
              <w:rPr>
                <w:rFonts w:ascii="仿宋_GB2312" w:eastAsia="仿宋_GB2312" w:hint="eastAsia"/>
                <w:szCs w:val="22"/>
              </w:rPr>
              <w:t>不</w:t>
            </w:r>
            <w:proofErr w:type="gramEnd"/>
            <w:r w:rsidRPr="00F46263">
              <w:rPr>
                <w:rFonts w:ascii="仿宋_GB2312" w:eastAsia="仿宋_GB2312" w:hint="eastAsia"/>
                <w:szCs w:val="22"/>
              </w:rPr>
              <w:t>分级</w:t>
            </w:r>
          </w:p>
        </w:tc>
      </w:tr>
      <w:tr w:rsidR="00F46263" w:rsidTr="003F74E4">
        <w:trPr>
          <w:trHeight w:val="437"/>
        </w:trPr>
        <w:tc>
          <w:tcPr>
            <w:tcW w:w="1268"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2017-7-20</w:t>
            </w:r>
          </w:p>
        </w:tc>
        <w:tc>
          <w:tcPr>
            <w:tcW w:w="3660"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上海强丰实业有限公司</w:t>
            </w:r>
          </w:p>
        </w:tc>
        <w:tc>
          <w:tcPr>
            <w:tcW w:w="3684" w:type="dxa"/>
            <w:vAlign w:val="center"/>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建筑工程三级</w:t>
            </w:r>
          </w:p>
        </w:tc>
      </w:tr>
    </w:tbl>
    <w:p w:rsidR="00F46263" w:rsidRDefault="00F46263" w:rsidP="00A8316A">
      <w:pPr>
        <w:rPr>
          <w:rFonts w:ascii="仿宋_GB2312" w:eastAsia="仿宋_GB2312" w:hint="eastAsia"/>
          <w:b/>
          <w:sz w:val="24"/>
          <w:szCs w:val="24"/>
        </w:rPr>
      </w:pPr>
    </w:p>
    <w:p w:rsidR="00F46263" w:rsidRPr="00F46263" w:rsidRDefault="00A8316A" w:rsidP="00A8316A">
      <w:pPr>
        <w:rPr>
          <w:rFonts w:ascii="仿宋_GB2312" w:eastAsia="仿宋_GB2312"/>
          <w:b/>
          <w:sz w:val="24"/>
          <w:szCs w:val="24"/>
        </w:rPr>
      </w:pPr>
      <w:r>
        <w:rPr>
          <w:rFonts w:ascii="仿宋_GB2312" w:eastAsia="仿宋_GB2312" w:hint="eastAsia"/>
          <w:b/>
          <w:sz w:val="24"/>
          <w:szCs w:val="24"/>
        </w:rPr>
        <w:t>迁入企业（施工资质）:</w:t>
      </w:r>
      <w:r w:rsidR="00F46263">
        <w:rPr>
          <w:rFonts w:ascii="仿宋_GB2312" w:eastAsia="仿宋_GB2312" w:hint="eastAsia"/>
          <w:b/>
          <w:sz w:val="24"/>
          <w:szCs w:val="24"/>
        </w:rPr>
        <w:t>1</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44"/>
        <w:gridCol w:w="3684"/>
        <w:gridCol w:w="3684"/>
      </w:tblGrid>
      <w:tr w:rsidR="00A8316A" w:rsidTr="00F46263">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F46263" w:rsidTr="00F46263">
        <w:trPr>
          <w:trHeight w:val="437"/>
        </w:trPr>
        <w:tc>
          <w:tcPr>
            <w:tcW w:w="1244" w:type="dxa"/>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2017-7-20</w:t>
            </w:r>
          </w:p>
        </w:tc>
        <w:tc>
          <w:tcPr>
            <w:tcW w:w="3684" w:type="dxa"/>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上海</w:t>
            </w:r>
            <w:proofErr w:type="gramStart"/>
            <w:r w:rsidRPr="00F46263">
              <w:rPr>
                <w:rFonts w:ascii="仿宋_GB2312" w:eastAsia="仿宋_GB2312" w:hint="eastAsia"/>
                <w:szCs w:val="22"/>
              </w:rPr>
              <w:t>澎</w:t>
            </w:r>
            <w:proofErr w:type="gramEnd"/>
            <w:r w:rsidRPr="00F46263">
              <w:rPr>
                <w:rFonts w:ascii="仿宋_GB2312" w:eastAsia="仿宋_GB2312" w:hint="eastAsia"/>
                <w:szCs w:val="22"/>
              </w:rPr>
              <w:t>之</w:t>
            </w:r>
            <w:proofErr w:type="gramStart"/>
            <w:r w:rsidRPr="00F46263">
              <w:rPr>
                <w:rFonts w:ascii="仿宋_GB2312" w:eastAsia="仿宋_GB2312" w:hint="eastAsia"/>
                <w:szCs w:val="22"/>
              </w:rPr>
              <w:t>湃</w:t>
            </w:r>
            <w:proofErr w:type="gramEnd"/>
            <w:r w:rsidRPr="00F46263">
              <w:rPr>
                <w:rFonts w:ascii="仿宋_GB2312" w:eastAsia="仿宋_GB2312" w:hint="eastAsia"/>
                <w:szCs w:val="22"/>
              </w:rPr>
              <w:t>建设工程有限公司</w:t>
            </w:r>
          </w:p>
        </w:tc>
        <w:tc>
          <w:tcPr>
            <w:tcW w:w="3684" w:type="dxa"/>
          </w:tcPr>
          <w:p w:rsidR="00F46263" w:rsidRPr="00F46263" w:rsidRDefault="00F46263" w:rsidP="00FF0CC7">
            <w:pPr>
              <w:jc w:val="center"/>
              <w:rPr>
                <w:rFonts w:ascii="仿宋_GB2312" w:eastAsia="仿宋_GB2312" w:hint="eastAsia"/>
                <w:szCs w:val="22"/>
              </w:rPr>
            </w:pPr>
            <w:r w:rsidRPr="00F46263">
              <w:rPr>
                <w:rFonts w:ascii="仿宋_GB2312" w:eastAsia="仿宋_GB2312" w:hint="eastAsia"/>
                <w:szCs w:val="22"/>
              </w:rPr>
              <w:t>建筑工程三级</w:t>
            </w:r>
          </w:p>
        </w:tc>
      </w:tr>
    </w:tbl>
    <w:p w:rsidR="00A8316A" w:rsidRDefault="00A8316A" w:rsidP="00A8316A">
      <w:pPr>
        <w:rPr>
          <w:rFonts w:ascii="仿宋_GB2312" w:eastAsia="仿宋_GB2312"/>
          <w:b/>
          <w:sz w:val="24"/>
          <w:szCs w:val="24"/>
        </w:rPr>
      </w:pPr>
    </w:p>
    <w:p w:rsidR="00F46263" w:rsidRDefault="00A8316A" w:rsidP="00A8316A">
      <w:pPr>
        <w:rPr>
          <w:rFonts w:ascii="仿宋_GB2312" w:eastAsia="仿宋_GB2312"/>
          <w:b/>
          <w:sz w:val="24"/>
          <w:szCs w:val="24"/>
        </w:rPr>
      </w:pPr>
      <w:r>
        <w:rPr>
          <w:rFonts w:ascii="仿宋_GB2312" w:eastAsia="仿宋_GB2312" w:hint="eastAsia"/>
          <w:b/>
          <w:sz w:val="24"/>
          <w:szCs w:val="24"/>
        </w:rPr>
        <w:t>分类合并（施工资质）:0家</w:t>
      </w:r>
    </w:p>
    <w:tbl>
      <w:tblPr>
        <w:tblStyle w:val="af1"/>
        <w:tblW w:w="8612" w:type="dxa"/>
        <w:tblLayout w:type="fixed"/>
        <w:tblLook w:val="04A0" w:firstRow="1" w:lastRow="0" w:firstColumn="1" w:lastColumn="0" w:noHBand="0" w:noVBand="1"/>
      </w:tblPr>
      <w:tblGrid>
        <w:gridCol w:w="1244"/>
        <w:gridCol w:w="3684"/>
        <w:gridCol w:w="3684"/>
      </w:tblGrid>
      <w:tr w:rsidR="00A8316A" w:rsidTr="003F74E4">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8316A" w:rsidTr="003F74E4">
        <w:trPr>
          <w:trHeight w:val="437"/>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F74E4">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rPr>
                <w:rFonts w:ascii="仿宋_GB2312" w:eastAsia="仿宋_GB2312"/>
                <w:szCs w:val="22"/>
              </w:rPr>
            </w:pPr>
          </w:p>
        </w:tc>
      </w:tr>
    </w:tbl>
    <w:p w:rsidR="00A8316A" w:rsidRDefault="00A8316A" w:rsidP="00A8316A">
      <w:pPr>
        <w:spacing w:line="240" w:lineRule="atLeast"/>
        <w:rPr>
          <w:rFonts w:ascii="黑体" w:eastAsia="黑体"/>
          <w:b/>
          <w:sz w:val="32"/>
          <w:szCs w:val="32"/>
        </w:rPr>
        <w:sectPr w:rsidR="00A8316A" w:rsidSect="00A8316A">
          <w:headerReference w:type="even" r:id="rId9"/>
          <w:headerReference w:type="default" r:id="rId10"/>
          <w:footerReference w:type="even" r:id="rId11"/>
          <w:footerReference w:type="default" r:id="rId12"/>
          <w:headerReference w:type="first" r:id="rId13"/>
          <w:footerReference w:type="first" r:id="rId14"/>
          <w:pgSz w:w="11906" w:h="16838"/>
          <w:pgMar w:top="1440" w:right="1304" w:bottom="1440" w:left="1797" w:header="851" w:footer="992" w:gutter="0"/>
          <w:cols w:space="425"/>
          <w:docGrid w:type="lines" w:linePitch="312"/>
        </w:sectPr>
      </w:pPr>
    </w:p>
    <w:p w:rsidR="00D30C8F" w:rsidRDefault="00D30C8F" w:rsidP="009237BB">
      <w:pPr>
        <w:spacing w:line="240" w:lineRule="atLeast"/>
        <w:jc w:val="center"/>
        <w:rPr>
          <w:rFonts w:ascii="黑体" w:eastAsia="黑体"/>
          <w:b/>
          <w:sz w:val="32"/>
          <w:szCs w:val="32"/>
        </w:rPr>
      </w:pPr>
    </w:p>
    <w:p w:rsidR="009237BB" w:rsidRDefault="00813FD2" w:rsidP="009237BB">
      <w:pPr>
        <w:spacing w:line="240" w:lineRule="atLeast"/>
        <w:jc w:val="center"/>
        <w:rPr>
          <w:rFonts w:ascii="黑体" w:eastAsia="黑体"/>
          <w:b/>
          <w:sz w:val="32"/>
          <w:szCs w:val="32"/>
        </w:rPr>
      </w:pPr>
      <w:r>
        <w:rPr>
          <w:rFonts w:ascii="黑体" w:eastAsia="黑体" w:hint="eastAsia"/>
          <w:b/>
          <w:sz w:val="32"/>
          <w:szCs w:val="32"/>
        </w:rPr>
        <w:t>2017年</w:t>
      </w:r>
      <w:r w:rsidR="009237BB">
        <w:rPr>
          <w:rFonts w:ascii="黑体" w:eastAsia="黑体" w:hint="eastAsia"/>
          <w:b/>
          <w:sz w:val="32"/>
          <w:szCs w:val="32"/>
        </w:rPr>
        <w:t>7</w:t>
      </w:r>
      <w:r>
        <w:rPr>
          <w:rFonts w:ascii="黑体" w:eastAsia="黑体" w:hint="eastAsia"/>
          <w:b/>
          <w:sz w:val="32"/>
          <w:szCs w:val="32"/>
        </w:rPr>
        <w:t>月 金山区建设工程施工招投标项目清单</w:t>
      </w:r>
    </w:p>
    <w:p w:rsidR="00D30C8F" w:rsidRPr="009237BB" w:rsidRDefault="00D30C8F" w:rsidP="009237BB">
      <w:pPr>
        <w:spacing w:line="240" w:lineRule="atLeast"/>
        <w:jc w:val="center"/>
        <w:rPr>
          <w:rFonts w:ascii="黑体" w:eastAsia="黑体"/>
          <w:b/>
          <w:sz w:val="32"/>
          <w:szCs w:val="3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426"/>
        <w:gridCol w:w="629"/>
        <w:gridCol w:w="2203"/>
        <w:gridCol w:w="2835"/>
        <w:gridCol w:w="2128"/>
        <w:gridCol w:w="1267"/>
        <w:gridCol w:w="1162"/>
        <w:gridCol w:w="1113"/>
        <w:gridCol w:w="883"/>
      </w:tblGrid>
      <w:tr w:rsidR="00FA044A">
        <w:trPr>
          <w:trHeight w:val="680"/>
        </w:trPr>
        <w:tc>
          <w:tcPr>
            <w:tcW w:w="528"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426"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报建编号</w:t>
            </w:r>
          </w:p>
        </w:tc>
        <w:tc>
          <w:tcPr>
            <w:tcW w:w="629"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标段号</w:t>
            </w:r>
          </w:p>
        </w:tc>
        <w:tc>
          <w:tcPr>
            <w:tcW w:w="2203"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建设单位</w:t>
            </w:r>
          </w:p>
        </w:tc>
        <w:tc>
          <w:tcPr>
            <w:tcW w:w="2835"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项目名称</w:t>
            </w:r>
          </w:p>
        </w:tc>
        <w:tc>
          <w:tcPr>
            <w:tcW w:w="2128"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中标单位</w:t>
            </w:r>
          </w:p>
        </w:tc>
        <w:tc>
          <w:tcPr>
            <w:tcW w:w="1267"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中标价（万元）</w:t>
            </w:r>
          </w:p>
        </w:tc>
        <w:tc>
          <w:tcPr>
            <w:tcW w:w="1162"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中标面积（</w:t>
            </w:r>
            <w:r>
              <w:rPr>
                <w:rFonts w:ascii="宋体" w:hAnsi="宋体" w:cs="宋体" w:hint="eastAsia"/>
                <w:b/>
                <w:bCs/>
                <w:kern w:val="0"/>
                <w:szCs w:val="21"/>
              </w:rPr>
              <w:t>㎡</w:t>
            </w:r>
            <w:r>
              <w:rPr>
                <w:rFonts w:ascii="仿宋_GB2312" w:eastAsia="仿宋_GB2312" w:hAnsi="仿宋_GB2312" w:cs="仿宋_GB2312" w:hint="eastAsia"/>
                <w:b/>
                <w:bCs/>
                <w:kern w:val="0"/>
                <w:szCs w:val="21"/>
              </w:rPr>
              <w:t>）</w:t>
            </w:r>
          </w:p>
        </w:tc>
        <w:tc>
          <w:tcPr>
            <w:tcW w:w="1113"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招标方式</w:t>
            </w:r>
          </w:p>
        </w:tc>
        <w:tc>
          <w:tcPr>
            <w:tcW w:w="883"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经办人</w:t>
            </w:r>
          </w:p>
        </w:tc>
      </w:tr>
      <w:tr w:rsidR="009237BB" w:rsidRPr="009237BB" w:rsidTr="009237BB">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1702JS0070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上海市金山区市政工程管理所</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卫八路（金山大道—沪杭公路）路灯改造项目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上海金山人防电气安装工程有限公司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309.5433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proofErr w:type="gramStart"/>
            <w:r w:rsidRPr="009237BB">
              <w:rPr>
                <w:rFonts w:ascii="仿宋_GB2312" w:eastAsia="仿宋_GB2312" w:hAnsi="宋体" w:cs="宋体" w:hint="eastAsia"/>
                <w:bCs/>
                <w:kern w:val="0"/>
                <w:szCs w:val="21"/>
              </w:rPr>
              <w:t>殷丹</w:t>
            </w:r>
            <w:proofErr w:type="gramEnd"/>
          </w:p>
        </w:tc>
      </w:tr>
      <w:tr w:rsidR="009237BB" w:rsidRPr="009237BB" w:rsidTr="009237BB">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1702JS0063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上海市</w:t>
            </w:r>
            <w:proofErr w:type="gramStart"/>
            <w:r w:rsidRPr="009237BB">
              <w:rPr>
                <w:rFonts w:ascii="仿宋_GB2312" w:eastAsia="仿宋_GB2312" w:hAnsi="宋体" w:cs="宋体" w:hint="eastAsia"/>
                <w:bCs/>
                <w:kern w:val="0"/>
                <w:szCs w:val="21"/>
              </w:rPr>
              <w:t>罗星中学</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上海市</w:t>
            </w:r>
            <w:proofErr w:type="gramStart"/>
            <w:r w:rsidRPr="009237BB">
              <w:rPr>
                <w:rFonts w:ascii="仿宋_GB2312" w:eastAsia="仿宋_GB2312" w:hAnsi="宋体" w:cs="宋体" w:hint="eastAsia"/>
                <w:bCs/>
                <w:kern w:val="0"/>
                <w:szCs w:val="21"/>
              </w:rPr>
              <w:t>罗星中学</w:t>
            </w:r>
            <w:proofErr w:type="gramEnd"/>
            <w:r w:rsidRPr="009237BB">
              <w:rPr>
                <w:rFonts w:ascii="仿宋_GB2312" w:eastAsia="仿宋_GB2312" w:hAnsi="宋体" w:cs="宋体" w:hint="eastAsia"/>
                <w:bCs/>
                <w:kern w:val="0"/>
                <w:szCs w:val="21"/>
              </w:rPr>
              <w:t>2017年校舍维修项目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江苏江都建设集团有限公司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135.2479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proofErr w:type="gramStart"/>
            <w:r w:rsidRPr="009237BB">
              <w:rPr>
                <w:rFonts w:ascii="仿宋_GB2312" w:eastAsia="仿宋_GB2312" w:hAnsi="宋体" w:cs="宋体" w:hint="eastAsia"/>
                <w:bCs/>
                <w:kern w:val="0"/>
                <w:szCs w:val="21"/>
              </w:rPr>
              <w:t>殷丹</w:t>
            </w:r>
            <w:proofErr w:type="gramEnd"/>
          </w:p>
        </w:tc>
      </w:tr>
      <w:tr w:rsidR="009237BB" w:rsidRPr="009237BB" w:rsidTr="009237BB">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1702JS0062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上海丽农农业科技有限公司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金山区枫泾镇茶叶生产基地项目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上海忠辰建设工程有限公司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307.0101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1240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proofErr w:type="gramStart"/>
            <w:r w:rsidRPr="009237BB">
              <w:rPr>
                <w:rFonts w:ascii="仿宋_GB2312" w:eastAsia="仿宋_GB2312" w:hAnsi="宋体" w:cs="宋体" w:hint="eastAsia"/>
                <w:bCs/>
                <w:kern w:val="0"/>
                <w:szCs w:val="21"/>
              </w:rPr>
              <w:t>殷丹</w:t>
            </w:r>
            <w:proofErr w:type="gramEnd"/>
          </w:p>
        </w:tc>
      </w:tr>
      <w:tr w:rsidR="009237BB" w:rsidRPr="009237BB" w:rsidTr="009237BB">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1702JS0054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上海金山公共租赁住房投资运营有限公司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金山万达配套公租房室内装饰项目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江西王牌建设工程集团有限公司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850.8376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俞雪芬</w:t>
            </w:r>
          </w:p>
        </w:tc>
      </w:tr>
      <w:tr w:rsidR="009237BB" w:rsidRPr="009237BB" w:rsidTr="009237BB">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1702JS0045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上海市金山区石化</w:t>
            </w:r>
            <w:proofErr w:type="gramStart"/>
            <w:r w:rsidRPr="009237BB">
              <w:rPr>
                <w:rFonts w:ascii="仿宋_GB2312" w:eastAsia="仿宋_GB2312" w:hAnsi="宋体" w:cs="宋体" w:hint="eastAsia"/>
                <w:bCs/>
                <w:kern w:val="0"/>
                <w:szCs w:val="21"/>
              </w:rPr>
              <w:t>幼稚总园</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上海市金山区石化</w:t>
            </w:r>
            <w:proofErr w:type="gramStart"/>
            <w:r w:rsidRPr="009237BB">
              <w:rPr>
                <w:rFonts w:ascii="仿宋_GB2312" w:eastAsia="仿宋_GB2312" w:hAnsi="宋体" w:cs="宋体" w:hint="eastAsia"/>
                <w:bCs/>
                <w:kern w:val="0"/>
                <w:szCs w:val="21"/>
              </w:rPr>
              <w:t>幼稚总园</w:t>
            </w:r>
            <w:proofErr w:type="gramEnd"/>
            <w:r w:rsidRPr="009237BB">
              <w:rPr>
                <w:rFonts w:ascii="仿宋_GB2312" w:eastAsia="仿宋_GB2312" w:hAnsi="宋体" w:cs="宋体" w:hint="eastAsia"/>
                <w:bCs/>
                <w:kern w:val="0"/>
                <w:szCs w:val="21"/>
              </w:rPr>
              <w:t>(豪庭幼儿园)2017校舍维修项目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上海雄丰建设工程有限公司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229.8321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proofErr w:type="gramStart"/>
            <w:r w:rsidRPr="009237BB">
              <w:rPr>
                <w:rFonts w:ascii="仿宋_GB2312" w:eastAsia="仿宋_GB2312" w:hAnsi="宋体" w:cs="宋体" w:hint="eastAsia"/>
                <w:bCs/>
                <w:kern w:val="0"/>
                <w:szCs w:val="21"/>
              </w:rPr>
              <w:t>殷丹</w:t>
            </w:r>
            <w:proofErr w:type="gramEnd"/>
          </w:p>
        </w:tc>
      </w:tr>
      <w:tr w:rsidR="009237BB" w:rsidRPr="009237BB" w:rsidTr="009237BB">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1702JS0037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上海市金山区吕巷镇人民政府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proofErr w:type="gramStart"/>
            <w:r w:rsidRPr="009237BB">
              <w:rPr>
                <w:rFonts w:ascii="仿宋_GB2312" w:eastAsia="仿宋_GB2312" w:hAnsi="宋体" w:cs="宋体" w:hint="eastAsia"/>
                <w:bCs/>
                <w:kern w:val="0"/>
                <w:szCs w:val="21"/>
              </w:rPr>
              <w:t>吕</w:t>
            </w:r>
            <w:proofErr w:type="gramEnd"/>
            <w:r w:rsidRPr="009237BB">
              <w:rPr>
                <w:rFonts w:ascii="仿宋_GB2312" w:eastAsia="仿宋_GB2312" w:hAnsi="宋体" w:cs="宋体" w:hint="eastAsia"/>
                <w:bCs/>
                <w:kern w:val="0"/>
                <w:szCs w:val="21"/>
              </w:rPr>
              <w:t>巷镇2016年度截污纳管工程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上海新钧建设发展有限公司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608.889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proofErr w:type="gramStart"/>
            <w:r w:rsidRPr="009237BB">
              <w:rPr>
                <w:rFonts w:ascii="仿宋_GB2312" w:eastAsia="仿宋_GB2312" w:hAnsi="宋体" w:cs="宋体" w:hint="eastAsia"/>
                <w:bCs/>
                <w:kern w:val="0"/>
                <w:szCs w:val="21"/>
              </w:rPr>
              <w:t>殷丹</w:t>
            </w:r>
            <w:proofErr w:type="gramEnd"/>
          </w:p>
        </w:tc>
      </w:tr>
      <w:tr w:rsidR="009237BB" w:rsidRPr="009237BB" w:rsidTr="009237BB">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1702JS0012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上海石化工业学校</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上海石化工业学校</w:t>
            </w:r>
            <w:proofErr w:type="gramStart"/>
            <w:r w:rsidRPr="009237BB">
              <w:rPr>
                <w:rFonts w:ascii="仿宋_GB2312" w:eastAsia="仿宋_GB2312" w:hAnsi="宋体" w:cs="宋体" w:hint="eastAsia"/>
                <w:bCs/>
                <w:kern w:val="0"/>
                <w:szCs w:val="21"/>
              </w:rPr>
              <w:t>校</w:t>
            </w:r>
            <w:proofErr w:type="gramEnd"/>
            <w:r w:rsidRPr="009237BB">
              <w:rPr>
                <w:rFonts w:ascii="仿宋_GB2312" w:eastAsia="仿宋_GB2312" w:hAnsi="宋体" w:cs="宋体" w:hint="eastAsia"/>
                <w:bCs/>
                <w:kern w:val="0"/>
                <w:szCs w:val="21"/>
              </w:rPr>
              <w:t>安工程（抗震加固）</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河北建设集团股份有限公司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17965.4811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proofErr w:type="gramStart"/>
            <w:r w:rsidRPr="009237BB">
              <w:rPr>
                <w:rFonts w:ascii="仿宋_GB2312" w:eastAsia="仿宋_GB2312" w:hAnsi="宋体" w:cs="宋体" w:hint="eastAsia"/>
                <w:bCs/>
                <w:kern w:val="0"/>
                <w:szCs w:val="21"/>
              </w:rPr>
              <w:t>殷丹</w:t>
            </w:r>
            <w:proofErr w:type="gramEnd"/>
          </w:p>
        </w:tc>
      </w:tr>
      <w:tr w:rsidR="009237BB" w:rsidRPr="009237BB" w:rsidTr="009237BB">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8</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1702JS0001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上海金工企业发展有限公司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 xml:space="preserve">上海（金山）国际中小企业产业园（一期）项目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八冶建设集团有限公司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29203.3678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103745.84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proofErr w:type="gramStart"/>
            <w:r w:rsidRPr="009237BB">
              <w:rPr>
                <w:rFonts w:ascii="仿宋_GB2312" w:eastAsia="仿宋_GB2312" w:hAnsi="宋体" w:cs="宋体" w:hint="eastAsia"/>
                <w:bCs/>
                <w:kern w:val="0"/>
                <w:szCs w:val="21"/>
              </w:rPr>
              <w:t>殷丹</w:t>
            </w:r>
            <w:proofErr w:type="gramEnd"/>
          </w:p>
        </w:tc>
      </w:tr>
      <w:tr w:rsidR="009237BB" w:rsidRPr="009237BB" w:rsidTr="009237BB">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lastRenderedPageBreak/>
              <w:t>9</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1602JS0068</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上海金山城市建设投资有限公司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金山亭</w:t>
            </w:r>
            <w:proofErr w:type="gramStart"/>
            <w:r w:rsidRPr="009237BB">
              <w:rPr>
                <w:rFonts w:ascii="仿宋_GB2312" w:eastAsia="仿宋_GB2312" w:hAnsi="宋体" w:cs="宋体" w:hint="eastAsia"/>
                <w:bCs/>
                <w:kern w:val="0"/>
                <w:szCs w:val="21"/>
              </w:rPr>
              <w:t>林大型</w:t>
            </w:r>
            <w:proofErr w:type="gramEnd"/>
            <w:r w:rsidRPr="009237BB">
              <w:rPr>
                <w:rFonts w:ascii="仿宋_GB2312" w:eastAsia="仿宋_GB2312" w:hAnsi="宋体" w:cs="宋体" w:hint="eastAsia"/>
                <w:bCs/>
                <w:kern w:val="0"/>
                <w:szCs w:val="21"/>
              </w:rPr>
              <w:t>居住区市政道路项目林吉路（车亭公路—红</w:t>
            </w:r>
            <w:proofErr w:type="gramStart"/>
            <w:r w:rsidRPr="009237BB">
              <w:rPr>
                <w:rFonts w:ascii="仿宋_GB2312" w:eastAsia="仿宋_GB2312" w:hAnsi="宋体" w:cs="宋体" w:hint="eastAsia"/>
                <w:bCs/>
                <w:kern w:val="0"/>
                <w:szCs w:val="21"/>
              </w:rPr>
              <w:t>梓</w:t>
            </w:r>
            <w:proofErr w:type="gramEnd"/>
            <w:r w:rsidRPr="009237BB">
              <w:rPr>
                <w:rFonts w:ascii="仿宋_GB2312" w:eastAsia="仿宋_GB2312" w:hAnsi="宋体" w:cs="宋体" w:hint="eastAsia"/>
                <w:bCs/>
                <w:kern w:val="0"/>
                <w:szCs w:val="21"/>
              </w:rPr>
              <w:t>路）</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上海金山市政工程有限公司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1162.98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proofErr w:type="gramStart"/>
            <w:r w:rsidRPr="009237BB">
              <w:rPr>
                <w:rFonts w:ascii="仿宋_GB2312" w:eastAsia="仿宋_GB2312" w:hAnsi="宋体" w:cs="宋体" w:hint="eastAsia"/>
                <w:bCs/>
                <w:kern w:val="0"/>
                <w:szCs w:val="21"/>
              </w:rPr>
              <w:t>殷丹</w:t>
            </w:r>
            <w:proofErr w:type="gramEnd"/>
          </w:p>
        </w:tc>
      </w:tr>
      <w:tr w:rsidR="009237BB" w:rsidRPr="009237BB" w:rsidTr="009237BB">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10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 xml:space="preserve">1502JS0179 </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C06</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上海金山排海工程有限公司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上海市金山区新江水质净化二厂及配套管网工程污水收集管网工程二标段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上海金山公路建设有限公司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10898.0812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俞雪芬</w:t>
            </w:r>
          </w:p>
        </w:tc>
      </w:tr>
      <w:tr w:rsidR="009237BB" w:rsidRPr="009237BB" w:rsidTr="009237BB">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11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1402JS0011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C05</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上海金镇城镇建设发展有限公司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山阳镇海</w:t>
            </w:r>
            <w:proofErr w:type="gramStart"/>
            <w:r w:rsidRPr="009237BB">
              <w:rPr>
                <w:rFonts w:ascii="仿宋_GB2312" w:eastAsia="仿宋_GB2312" w:hAnsi="宋体" w:cs="宋体" w:hint="eastAsia"/>
                <w:bCs/>
                <w:kern w:val="0"/>
                <w:szCs w:val="21"/>
              </w:rPr>
              <w:t>皓</w:t>
            </w:r>
            <w:proofErr w:type="gramEnd"/>
            <w:r w:rsidRPr="009237BB">
              <w:rPr>
                <w:rFonts w:ascii="仿宋_GB2312" w:eastAsia="仿宋_GB2312" w:hAnsi="宋体" w:cs="宋体" w:hint="eastAsia"/>
                <w:bCs/>
                <w:kern w:val="0"/>
                <w:szCs w:val="21"/>
              </w:rPr>
              <w:t>馨园（暂定名）动迁安置房(桩基）</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上海康桥建设工程有限公司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1990.8001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 xml:space="preserve">邀请招标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237BB" w:rsidRPr="009237BB" w:rsidRDefault="009237BB" w:rsidP="009237BB">
            <w:pPr>
              <w:widowControl/>
              <w:jc w:val="center"/>
              <w:rPr>
                <w:rFonts w:ascii="仿宋_GB2312" w:eastAsia="仿宋_GB2312" w:hAnsi="宋体" w:cs="宋体"/>
                <w:bCs/>
                <w:kern w:val="0"/>
                <w:szCs w:val="21"/>
              </w:rPr>
            </w:pPr>
            <w:r w:rsidRPr="009237BB">
              <w:rPr>
                <w:rFonts w:ascii="仿宋_GB2312" w:eastAsia="仿宋_GB2312" w:hAnsi="宋体" w:cs="宋体" w:hint="eastAsia"/>
                <w:bCs/>
                <w:kern w:val="0"/>
                <w:szCs w:val="21"/>
              </w:rPr>
              <w:t>周萍</w:t>
            </w:r>
          </w:p>
        </w:tc>
      </w:tr>
    </w:tbl>
    <w:p w:rsidR="00FA044A" w:rsidRDefault="00FA044A">
      <w:pPr>
        <w:spacing w:before="240"/>
        <w:rPr>
          <w:szCs w:val="21"/>
        </w:rPr>
      </w:pPr>
    </w:p>
    <w:sectPr w:rsidR="00FA044A" w:rsidSect="00D30C8F">
      <w:pgSz w:w="16838" w:h="11906" w:orient="landscape"/>
      <w:pgMar w:top="1304" w:right="1440" w:bottom="1701"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F36" w:rsidRDefault="000D3F36">
      <w:r>
        <w:separator/>
      </w:r>
    </w:p>
  </w:endnote>
  <w:endnote w:type="continuationSeparator" w:id="0">
    <w:p w:rsidR="000D3F36" w:rsidRDefault="000D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BF2" w:rsidRDefault="00764BF2">
    <w:pPr>
      <w:pStyle w:val="aa"/>
    </w:pPr>
  </w:p>
  <w:p w:rsidR="00FF296F" w:rsidRDefault="00FF296F"/>
  <w:p w:rsidR="00FF296F" w:rsidRDefault="00FF29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81" w:rsidRDefault="00AD6981">
    <w:pPr>
      <w:pStyle w:val="aa"/>
      <w:jc w:val="center"/>
    </w:pPr>
    <w:r>
      <w:rPr>
        <w:rStyle w:val="ae"/>
      </w:rPr>
      <w:fldChar w:fldCharType="begin"/>
    </w:r>
    <w:r>
      <w:rPr>
        <w:rStyle w:val="ae"/>
      </w:rPr>
      <w:instrText xml:space="preserve"> PAGE </w:instrText>
    </w:r>
    <w:r>
      <w:rPr>
        <w:rStyle w:val="ae"/>
      </w:rPr>
      <w:fldChar w:fldCharType="separate"/>
    </w:r>
    <w:r w:rsidR="00A72179">
      <w:rPr>
        <w:rStyle w:val="ae"/>
        <w:noProof/>
      </w:rPr>
      <w:t>1</w:t>
    </w:r>
    <w:r>
      <w:rPr>
        <w:rStyle w:val="ae"/>
      </w:rPr>
      <w:fldChar w:fldCharType="end"/>
    </w:r>
  </w:p>
  <w:p w:rsidR="00FF296F" w:rsidRDefault="00FF296F"/>
  <w:p w:rsidR="00FF296F" w:rsidRDefault="00FF296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161" w:rsidRDefault="00E5316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F36" w:rsidRDefault="000D3F36">
      <w:r>
        <w:separator/>
      </w:r>
    </w:p>
  </w:footnote>
  <w:footnote w:type="continuationSeparator" w:id="0">
    <w:p w:rsidR="000D3F36" w:rsidRDefault="000D3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BF2" w:rsidRDefault="00764BF2">
    <w:pPr>
      <w:pStyle w:val="ab"/>
    </w:pPr>
  </w:p>
  <w:p w:rsidR="00FF296F" w:rsidRDefault="00FF296F"/>
  <w:p w:rsidR="00FF296F" w:rsidRDefault="00FF29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81" w:rsidRDefault="00AD6981" w:rsidP="009237BB">
    <w:pPr>
      <w:pStyle w:val="ab"/>
      <w:pBdr>
        <w:bottom w:val="none" w:sz="0" w:space="0" w:color="auto"/>
      </w:pBdr>
    </w:pPr>
  </w:p>
  <w:p w:rsidR="00FF296F" w:rsidRDefault="00FF296F"/>
  <w:p w:rsidR="00FF296F" w:rsidRDefault="00FF296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161" w:rsidRDefault="00E53161">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11FE"/>
    <w:rsid w:val="00002ACB"/>
    <w:rsid w:val="00002B4F"/>
    <w:rsid w:val="00002C37"/>
    <w:rsid w:val="00003F17"/>
    <w:rsid w:val="00004980"/>
    <w:rsid w:val="000049E7"/>
    <w:rsid w:val="00004D7E"/>
    <w:rsid w:val="00004E9D"/>
    <w:rsid w:val="00005B23"/>
    <w:rsid w:val="0000651D"/>
    <w:rsid w:val="00011114"/>
    <w:rsid w:val="00011505"/>
    <w:rsid w:val="0001228E"/>
    <w:rsid w:val="00013AB1"/>
    <w:rsid w:val="0001412D"/>
    <w:rsid w:val="000179CE"/>
    <w:rsid w:val="000210C8"/>
    <w:rsid w:val="00024C3E"/>
    <w:rsid w:val="00025147"/>
    <w:rsid w:val="00026CEC"/>
    <w:rsid w:val="000304FE"/>
    <w:rsid w:val="000305A1"/>
    <w:rsid w:val="00031AFB"/>
    <w:rsid w:val="00031BC8"/>
    <w:rsid w:val="000325BC"/>
    <w:rsid w:val="00032697"/>
    <w:rsid w:val="00032E20"/>
    <w:rsid w:val="000334CB"/>
    <w:rsid w:val="00033D0C"/>
    <w:rsid w:val="00036DFA"/>
    <w:rsid w:val="00037F7D"/>
    <w:rsid w:val="000402B5"/>
    <w:rsid w:val="00040872"/>
    <w:rsid w:val="00040EA1"/>
    <w:rsid w:val="00044199"/>
    <w:rsid w:val="000463AA"/>
    <w:rsid w:val="0004663B"/>
    <w:rsid w:val="00047D31"/>
    <w:rsid w:val="00047DAA"/>
    <w:rsid w:val="000506B9"/>
    <w:rsid w:val="000526C6"/>
    <w:rsid w:val="00052EBA"/>
    <w:rsid w:val="000541ED"/>
    <w:rsid w:val="000564B4"/>
    <w:rsid w:val="00060A6C"/>
    <w:rsid w:val="00060C8C"/>
    <w:rsid w:val="00061FB8"/>
    <w:rsid w:val="00062153"/>
    <w:rsid w:val="00062281"/>
    <w:rsid w:val="0006443C"/>
    <w:rsid w:val="0006510C"/>
    <w:rsid w:val="000663D5"/>
    <w:rsid w:val="00067A05"/>
    <w:rsid w:val="00070CE9"/>
    <w:rsid w:val="00072B3B"/>
    <w:rsid w:val="00073554"/>
    <w:rsid w:val="00074C45"/>
    <w:rsid w:val="0007597B"/>
    <w:rsid w:val="00076148"/>
    <w:rsid w:val="00076AF3"/>
    <w:rsid w:val="000773D2"/>
    <w:rsid w:val="00081A4D"/>
    <w:rsid w:val="000820E3"/>
    <w:rsid w:val="00082227"/>
    <w:rsid w:val="00082EB2"/>
    <w:rsid w:val="000830F7"/>
    <w:rsid w:val="00083ABF"/>
    <w:rsid w:val="00083C6D"/>
    <w:rsid w:val="0008526D"/>
    <w:rsid w:val="000875A5"/>
    <w:rsid w:val="00087F16"/>
    <w:rsid w:val="0009021A"/>
    <w:rsid w:val="00091BF0"/>
    <w:rsid w:val="000929F6"/>
    <w:rsid w:val="000931D4"/>
    <w:rsid w:val="000950E6"/>
    <w:rsid w:val="000953F3"/>
    <w:rsid w:val="00096F97"/>
    <w:rsid w:val="00097AC0"/>
    <w:rsid w:val="00097EC9"/>
    <w:rsid w:val="00097FE0"/>
    <w:rsid w:val="000A0BAD"/>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02F"/>
    <w:rsid w:val="000B3287"/>
    <w:rsid w:val="000B4319"/>
    <w:rsid w:val="000B456D"/>
    <w:rsid w:val="000B5187"/>
    <w:rsid w:val="000B6BE3"/>
    <w:rsid w:val="000C0A97"/>
    <w:rsid w:val="000C2D1D"/>
    <w:rsid w:val="000C2D7D"/>
    <w:rsid w:val="000C3701"/>
    <w:rsid w:val="000C40F5"/>
    <w:rsid w:val="000C4851"/>
    <w:rsid w:val="000C4F3C"/>
    <w:rsid w:val="000C53AC"/>
    <w:rsid w:val="000C63E7"/>
    <w:rsid w:val="000C6CF7"/>
    <w:rsid w:val="000D099F"/>
    <w:rsid w:val="000D0A10"/>
    <w:rsid w:val="000D3F36"/>
    <w:rsid w:val="000D4B28"/>
    <w:rsid w:val="000D4B9F"/>
    <w:rsid w:val="000D57F7"/>
    <w:rsid w:val="000D5D1B"/>
    <w:rsid w:val="000D5F27"/>
    <w:rsid w:val="000D7A78"/>
    <w:rsid w:val="000D7D91"/>
    <w:rsid w:val="000E37EB"/>
    <w:rsid w:val="000E4838"/>
    <w:rsid w:val="000E5862"/>
    <w:rsid w:val="000E64F9"/>
    <w:rsid w:val="000E7C4B"/>
    <w:rsid w:val="000F004A"/>
    <w:rsid w:val="000F00C0"/>
    <w:rsid w:val="000F16E0"/>
    <w:rsid w:val="000F18F3"/>
    <w:rsid w:val="000F1F9E"/>
    <w:rsid w:val="000F205F"/>
    <w:rsid w:val="000F4A22"/>
    <w:rsid w:val="000F5A07"/>
    <w:rsid w:val="000F6672"/>
    <w:rsid w:val="00100837"/>
    <w:rsid w:val="0010370A"/>
    <w:rsid w:val="001051BC"/>
    <w:rsid w:val="0010565D"/>
    <w:rsid w:val="00105D5C"/>
    <w:rsid w:val="00106096"/>
    <w:rsid w:val="00107949"/>
    <w:rsid w:val="00107E71"/>
    <w:rsid w:val="001106AD"/>
    <w:rsid w:val="001106E0"/>
    <w:rsid w:val="00110A85"/>
    <w:rsid w:val="00113C01"/>
    <w:rsid w:val="00115488"/>
    <w:rsid w:val="00116358"/>
    <w:rsid w:val="001177FB"/>
    <w:rsid w:val="001209B3"/>
    <w:rsid w:val="00120AB6"/>
    <w:rsid w:val="00120E35"/>
    <w:rsid w:val="001211A2"/>
    <w:rsid w:val="001212D9"/>
    <w:rsid w:val="00121BBB"/>
    <w:rsid w:val="00123533"/>
    <w:rsid w:val="0012568D"/>
    <w:rsid w:val="00130DB9"/>
    <w:rsid w:val="00130F9F"/>
    <w:rsid w:val="0013131E"/>
    <w:rsid w:val="001313C1"/>
    <w:rsid w:val="00132842"/>
    <w:rsid w:val="00133104"/>
    <w:rsid w:val="001339E7"/>
    <w:rsid w:val="00134334"/>
    <w:rsid w:val="00134AC8"/>
    <w:rsid w:val="00135B7A"/>
    <w:rsid w:val="001371A4"/>
    <w:rsid w:val="00141FF0"/>
    <w:rsid w:val="00142AB8"/>
    <w:rsid w:val="001430A1"/>
    <w:rsid w:val="00144813"/>
    <w:rsid w:val="001453EC"/>
    <w:rsid w:val="00145998"/>
    <w:rsid w:val="00145EF0"/>
    <w:rsid w:val="0014620A"/>
    <w:rsid w:val="00150E12"/>
    <w:rsid w:val="00151602"/>
    <w:rsid w:val="001543AA"/>
    <w:rsid w:val="0015607C"/>
    <w:rsid w:val="001600B9"/>
    <w:rsid w:val="001606C9"/>
    <w:rsid w:val="0016418E"/>
    <w:rsid w:val="0016442A"/>
    <w:rsid w:val="00164CCB"/>
    <w:rsid w:val="00164F0D"/>
    <w:rsid w:val="00165103"/>
    <w:rsid w:val="00165330"/>
    <w:rsid w:val="001659B3"/>
    <w:rsid w:val="00165BE9"/>
    <w:rsid w:val="00166D74"/>
    <w:rsid w:val="00167D85"/>
    <w:rsid w:val="001706CA"/>
    <w:rsid w:val="00170DAD"/>
    <w:rsid w:val="001719F3"/>
    <w:rsid w:val="00171FBA"/>
    <w:rsid w:val="0017279E"/>
    <w:rsid w:val="0017455F"/>
    <w:rsid w:val="00174B82"/>
    <w:rsid w:val="001760CD"/>
    <w:rsid w:val="00177D34"/>
    <w:rsid w:val="0018199F"/>
    <w:rsid w:val="0018213A"/>
    <w:rsid w:val="0018238E"/>
    <w:rsid w:val="00182F9E"/>
    <w:rsid w:val="001857F7"/>
    <w:rsid w:val="00185C83"/>
    <w:rsid w:val="00186A2D"/>
    <w:rsid w:val="00190FAE"/>
    <w:rsid w:val="00191A7A"/>
    <w:rsid w:val="00192428"/>
    <w:rsid w:val="001938B6"/>
    <w:rsid w:val="001946AD"/>
    <w:rsid w:val="00195469"/>
    <w:rsid w:val="00195741"/>
    <w:rsid w:val="00196BFE"/>
    <w:rsid w:val="00197412"/>
    <w:rsid w:val="001A0089"/>
    <w:rsid w:val="001A0178"/>
    <w:rsid w:val="001A2475"/>
    <w:rsid w:val="001A4CE2"/>
    <w:rsid w:val="001A537E"/>
    <w:rsid w:val="001A5CF6"/>
    <w:rsid w:val="001A6923"/>
    <w:rsid w:val="001B0117"/>
    <w:rsid w:val="001B0F69"/>
    <w:rsid w:val="001B3C2E"/>
    <w:rsid w:val="001B6A25"/>
    <w:rsid w:val="001B6C48"/>
    <w:rsid w:val="001C07D3"/>
    <w:rsid w:val="001C1B3E"/>
    <w:rsid w:val="001C1B8E"/>
    <w:rsid w:val="001C4AFF"/>
    <w:rsid w:val="001C629D"/>
    <w:rsid w:val="001D0DDB"/>
    <w:rsid w:val="001D3D2A"/>
    <w:rsid w:val="001D461B"/>
    <w:rsid w:val="001D4BAB"/>
    <w:rsid w:val="001D554A"/>
    <w:rsid w:val="001D5679"/>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3959"/>
    <w:rsid w:val="00203BB7"/>
    <w:rsid w:val="0020413E"/>
    <w:rsid w:val="00204169"/>
    <w:rsid w:val="00204318"/>
    <w:rsid w:val="00206ED6"/>
    <w:rsid w:val="00207431"/>
    <w:rsid w:val="00207868"/>
    <w:rsid w:val="0020787A"/>
    <w:rsid w:val="00207982"/>
    <w:rsid w:val="002108D7"/>
    <w:rsid w:val="00210AA2"/>
    <w:rsid w:val="00211237"/>
    <w:rsid w:val="0021194D"/>
    <w:rsid w:val="00211DE1"/>
    <w:rsid w:val="00213263"/>
    <w:rsid w:val="002144DE"/>
    <w:rsid w:val="00214FEF"/>
    <w:rsid w:val="00216834"/>
    <w:rsid w:val="002174E5"/>
    <w:rsid w:val="00217CD6"/>
    <w:rsid w:val="002203A8"/>
    <w:rsid w:val="00221CC3"/>
    <w:rsid w:val="002237EE"/>
    <w:rsid w:val="00223E85"/>
    <w:rsid w:val="002254EF"/>
    <w:rsid w:val="00226594"/>
    <w:rsid w:val="0022670E"/>
    <w:rsid w:val="002270F3"/>
    <w:rsid w:val="002276AD"/>
    <w:rsid w:val="00227E0F"/>
    <w:rsid w:val="002302FB"/>
    <w:rsid w:val="002334E7"/>
    <w:rsid w:val="002343EE"/>
    <w:rsid w:val="00234854"/>
    <w:rsid w:val="0023541F"/>
    <w:rsid w:val="00237890"/>
    <w:rsid w:val="00240C20"/>
    <w:rsid w:val="00242989"/>
    <w:rsid w:val="0024461F"/>
    <w:rsid w:val="00244F68"/>
    <w:rsid w:val="002451F4"/>
    <w:rsid w:val="00246978"/>
    <w:rsid w:val="0025194B"/>
    <w:rsid w:val="00252790"/>
    <w:rsid w:val="0025296F"/>
    <w:rsid w:val="00252E95"/>
    <w:rsid w:val="00253F20"/>
    <w:rsid w:val="002541F4"/>
    <w:rsid w:val="002562D3"/>
    <w:rsid w:val="0025679E"/>
    <w:rsid w:val="002622B5"/>
    <w:rsid w:val="00262F4D"/>
    <w:rsid w:val="002635AF"/>
    <w:rsid w:val="00263A27"/>
    <w:rsid w:val="00264053"/>
    <w:rsid w:val="00265008"/>
    <w:rsid w:val="00265719"/>
    <w:rsid w:val="00265879"/>
    <w:rsid w:val="00265DB1"/>
    <w:rsid w:val="00265DF4"/>
    <w:rsid w:val="00267344"/>
    <w:rsid w:val="002700DC"/>
    <w:rsid w:val="0027043E"/>
    <w:rsid w:val="00270B15"/>
    <w:rsid w:val="00270F0F"/>
    <w:rsid w:val="002742AC"/>
    <w:rsid w:val="00274401"/>
    <w:rsid w:val="00274D4A"/>
    <w:rsid w:val="0027549F"/>
    <w:rsid w:val="0027563B"/>
    <w:rsid w:val="00275D5E"/>
    <w:rsid w:val="00275F3A"/>
    <w:rsid w:val="002760CF"/>
    <w:rsid w:val="00277D04"/>
    <w:rsid w:val="002801A2"/>
    <w:rsid w:val="00280588"/>
    <w:rsid w:val="00280AD4"/>
    <w:rsid w:val="00282AAC"/>
    <w:rsid w:val="00283623"/>
    <w:rsid w:val="00283E24"/>
    <w:rsid w:val="00284FBA"/>
    <w:rsid w:val="00285E26"/>
    <w:rsid w:val="002872B3"/>
    <w:rsid w:val="00287FDA"/>
    <w:rsid w:val="00291599"/>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1260"/>
    <w:rsid w:val="002B17A4"/>
    <w:rsid w:val="002B2057"/>
    <w:rsid w:val="002B32AB"/>
    <w:rsid w:val="002B39BD"/>
    <w:rsid w:val="002B3CBA"/>
    <w:rsid w:val="002B46CE"/>
    <w:rsid w:val="002B522D"/>
    <w:rsid w:val="002B54D5"/>
    <w:rsid w:val="002B62CB"/>
    <w:rsid w:val="002B6E43"/>
    <w:rsid w:val="002B70DA"/>
    <w:rsid w:val="002C0227"/>
    <w:rsid w:val="002C06C0"/>
    <w:rsid w:val="002C186C"/>
    <w:rsid w:val="002C636E"/>
    <w:rsid w:val="002C7567"/>
    <w:rsid w:val="002C772C"/>
    <w:rsid w:val="002D143F"/>
    <w:rsid w:val="002D251D"/>
    <w:rsid w:val="002D36E0"/>
    <w:rsid w:val="002D3CA5"/>
    <w:rsid w:val="002D47CB"/>
    <w:rsid w:val="002D59B8"/>
    <w:rsid w:val="002D682E"/>
    <w:rsid w:val="002D6AAE"/>
    <w:rsid w:val="002E0137"/>
    <w:rsid w:val="002E106C"/>
    <w:rsid w:val="002E1840"/>
    <w:rsid w:val="002E2AEB"/>
    <w:rsid w:val="002E2C53"/>
    <w:rsid w:val="002E2E90"/>
    <w:rsid w:val="002E3133"/>
    <w:rsid w:val="002E3172"/>
    <w:rsid w:val="002E31B3"/>
    <w:rsid w:val="002E3D87"/>
    <w:rsid w:val="002E3D93"/>
    <w:rsid w:val="002E4BDA"/>
    <w:rsid w:val="002E6CCB"/>
    <w:rsid w:val="002E7663"/>
    <w:rsid w:val="002F0234"/>
    <w:rsid w:val="002F0A5B"/>
    <w:rsid w:val="002F1167"/>
    <w:rsid w:val="002F233F"/>
    <w:rsid w:val="002F3714"/>
    <w:rsid w:val="002F4B44"/>
    <w:rsid w:val="002F5EE7"/>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30537"/>
    <w:rsid w:val="0033081E"/>
    <w:rsid w:val="00332531"/>
    <w:rsid w:val="00332D16"/>
    <w:rsid w:val="00334FB5"/>
    <w:rsid w:val="00335B1B"/>
    <w:rsid w:val="00335EA2"/>
    <w:rsid w:val="00337350"/>
    <w:rsid w:val="0034041F"/>
    <w:rsid w:val="00344172"/>
    <w:rsid w:val="0034449E"/>
    <w:rsid w:val="0034475A"/>
    <w:rsid w:val="00344F94"/>
    <w:rsid w:val="003455D7"/>
    <w:rsid w:val="00345AB4"/>
    <w:rsid w:val="00346B8C"/>
    <w:rsid w:val="00346CC8"/>
    <w:rsid w:val="003474AB"/>
    <w:rsid w:val="00351BA6"/>
    <w:rsid w:val="0035353E"/>
    <w:rsid w:val="0035403B"/>
    <w:rsid w:val="00355DA5"/>
    <w:rsid w:val="00357716"/>
    <w:rsid w:val="003606EA"/>
    <w:rsid w:val="00361452"/>
    <w:rsid w:val="00362325"/>
    <w:rsid w:val="003624D9"/>
    <w:rsid w:val="00363643"/>
    <w:rsid w:val="00364AED"/>
    <w:rsid w:val="003650D6"/>
    <w:rsid w:val="00365179"/>
    <w:rsid w:val="00367212"/>
    <w:rsid w:val="003679C5"/>
    <w:rsid w:val="00367AAA"/>
    <w:rsid w:val="003706EA"/>
    <w:rsid w:val="0037106B"/>
    <w:rsid w:val="00371436"/>
    <w:rsid w:val="003714CA"/>
    <w:rsid w:val="00372904"/>
    <w:rsid w:val="0037327B"/>
    <w:rsid w:val="00373A69"/>
    <w:rsid w:val="00373AE3"/>
    <w:rsid w:val="00376A38"/>
    <w:rsid w:val="00376C52"/>
    <w:rsid w:val="0037770C"/>
    <w:rsid w:val="00377F60"/>
    <w:rsid w:val="0038152B"/>
    <w:rsid w:val="003837D6"/>
    <w:rsid w:val="003856DE"/>
    <w:rsid w:val="003873BE"/>
    <w:rsid w:val="00387FC6"/>
    <w:rsid w:val="00390F59"/>
    <w:rsid w:val="00391161"/>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9"/>
    <w:rsid w:val="003A6F3B"/>
    <w:rsid w:val="003A738E"/>
    <w:rsid w:val="003A7C86"/>
    <w:rsid w:val="003B0433"/>
    <w:rsid w:val="003B0A46"/>
    <w:rsid w:val="003B1475"/>
    <w:rsid w:val="003B2A50"/>
    <w:rsid w:val="003B3994"/>
    <w:rsid w:val="003B4067"/>
    <w:rsid w:val="003B426F"/>
    <w:rsid w:val="003B5482"/>
    <w:rsid w:val="003B59A4"/>
    <w:rsid w:val="003C0068"/>
    <w:rsid w:val="003C2BD0"/>
    <w:rsid w:val="003C678A"/>
    <w:rsid w:val="003C7820"/>
    <w:rsid w:val="003D009B"/>
    <w:rsid w:val="003D0EB6"/>
    <w:rsid w:val="003D26EF"/>
    <w:rsid w:val="003D3562"/>
    <w:rsid w:val="003D3840"/>
    <w:rsid w:val="003D3BA5"/>
    <w:rsid w:val="003D42B2"/>
    <w:rsid w:val="003D4683"/>
    <w:rsid w:val="003D55A9"/>
    <w:rsid w:val="003D5BB9"/>
    <w:rsid w:val="003D69DD"/>
    <w:rsid w:val="003D7CC8"/>
    <w:rsid w:val="003E005F"/>
    <w:rsid w:val="003E0470"/>
    <w:rsid w:val="003E1AE1"/>
    <w:rsid w:val="003E2088"/>
    <w:rsid w:val="003E6CA4"/>
    <w:rsid w:val="003E6ED7"/>
    <w:rsid w:val="003E7091"/>
    <w:rsid w:val="003E7101"/>
    <w:rsid w:val="003E73D8"/>
    <w:rsid w:val="003F10BF"/>
    <w:rsid w:val="003F1AAC"/>
    <w:rsid w:val="003F1E32"/>
    <w:rsid w:val="003F2D04"/>
    <w:rsid w:val="003F37FC"/>
    <w:rsid w:val="003F3D50"/>
    <w:rsid w:val="003F42A2"/>
    <w:rsid w:val="003F4E46"/>
    <w:rsid w:val="003F52DF"/>
    <w:rsid w:val="003F54E0"/>
    <w:rsid w:val="003F6D3D"/>
    <w:rsid w:val="003F74E4"/>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30FD"/>
    <w:rsid w:val="0042383D"/>
    <w:rsid w:val="00424999"/>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3D01"/>
    <w:rsid w:val="0043491E"/>
    <w:rsid w:val="00435308"/>
    <w:rsid w:val="0043556D"/>
    <w:rsid w:val="004357E7"/>
    <w:rsid w:val="00435A52"/>
    <w:rsid w:val="00435A71"/>
    <w:rsid w:val="00436653"/>
    <w:rsid w:val="00436809"/>
    <w:rsid w:val="00436D43"/>
    <w:rsid w:val="00437A78"/>
    <w:rsid w:val="00442C85"/>
    <w:rsid w:val="00444EEE"/>
    <w:rsid w:val="00445868"/>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7A4"/>
    <w:rsid w:val="00462F96"/>
    <w:rsid w:val="00465AAF"/>
    <w:rsid w:val="004738CE"/>
    <w:rsid w:val="00473E4A"/>
    <w:rsid w:val="004754AE"/>
    <w:rsid w:val="0047636D"/>
    <w:rsid w:val="00476F24"/>
    <w:rsid w:val="004800E1"/>
    <w:rsid w:val="0048090C"/>
    <w:rsid w:val="00482C5B"/>
    <w:rsid w:val="00484205"/>
    <w:rsid w:val="00484830"/>
    <w:rsid w:val="00485457"/>
    <w:rsid w:val="00485F89"/>
    <w:rsid w:val="00486564"/>
    <w:rsid w:val="004868EA"/>
    <w:rsid w:val="00486A0C"/>
    <w:rsid w:val="00487F14"/>
    <w:rsid w:val="00490557"/>
    <w:rsid w:val="00492E5E"/>
    <w:rsid w:val="00493E29"/>
    <w:rsid w:val="0049692E"/>
    <w:rsid w:val="00496E45"/>
    <w:rsid w:val="00496ED7"/>
    <w:rsid w:val="0049771E"/>
    <w:rsid w:val="00497875"/>
    <w:rsid w:val="00497A24"/>
    <w:rsid w:val="004A053C"/>
    <w:rsid w:val="004A05E9"/>
    <w:rsid w:val="004A1348"/>
    <w:rsid w:val="004A1F8E"/>
    <w:rsid w:val="004A21D7"/>
    <w:rsid w:val="004A2D22"/>
    <w:rsid w:val="004A363D"/>
    <w:rsid w:val="004A3C25"/>
    <w:rsid w:val="004A6D08"/>
    <w:rsid w:val="004B15EB"/>
    <w:rsid w:val="004B7788"/>
    <w:rsid w:val="004B7E8F"/>
    <w:rsid w:val="004C045B"/>
    <w:rsid w:val="004C1EC5"/>
    <w:rsid w:val="004C2877"/>
    <w:rsid w:val="004C3CB7"/>
    <w:rsid w:val="004C4134"/>
    <w:rsid w:val="004C4885"/>
    <w:rsid w:val="004C6B0D"/>
    <w:rsid w:val="004C783B"/>
    <w:rsid w:val="004D14EC"/>
    <w:rsid w:val="004D1A9F"/>
    <w:rsid w:val="004D6354"/>
    <w:rsid w:val="004D6AA3"/>
    <w:rsid w:val="004E00BB"/>
    <w:rsid w:val="004E0548"/>
    <w:rsid w:val="004E0DDD"/>
    <w:rsid w:val="004E7690"/>
    <w:rsid w:val="004E7F9D"/>
    <w:rsid w:val="004F1B2B"/>
    <w:rsid w:val="004F487D"/>
    <w:rsid w:val="004F50B7"/>
    <w:rsid w:val="004F573D"/>
    <w:rsid w:val="004F5FBA"/>
    <w:rsid w:val="004F622A"/>
    <w:rsid w:val="004F62A0"/>
    <w:rsid w:val="004F67E4"/>
    <w:rsid w:val="004F6A3C"/>
    <w:rsid w:val="005007D4"/>
    <w:rsid w:val="0050133E"/>
    <w:rsid w:val="00501603"/>
    <w:rsid w:val="00502592"/>
    <w:rsid w:val="005041F1"/>
    <w:rsid w:val="005043B9"/>
    <w:rsid w:val="005044D0"/>
    <w:rsid w:val="005046B8"/>
    <w:rsid w:val="005062B2"/>
    <w:rsid w:val="00506C1E"/>
    <w:rsid w:val="00507536"/>
    <w:rsid w:val="005075F9"/>
    <w:rsid w:val="00510740"/>
    <w:rsid w:val="0051130D"/>
    <w:rsid w:val="00513C82"/>
    <w:rsid w:val="0051499E"/>
    <w:rsid w:val="00514B03"/>
    <w:rsid w:val="005172A0"/>
    <w:rsid w:val="00520CB5"/>
    <w:rsid w:val="00521B4F"/>
    <w:rsid w:val="005232F4"/>
    <w:rsid w:val="00525D9B"/>
    <w:rsid w:val="005265BF"/>
    <w:rsid w:val="00526F7C"/>
    <w:rsid w:val="00526F8C"/>
    <w:rsid w:val="005328E9"/>
    <w:rsid w:val="00533FBF"/>
    <w:rsid w:val="00534527"/>
    <w:rsid w:val="00534683"/>
    <w:rsid w:val="00534733"/>
    <w:rsid w:val="00535456"/>
    <w:rsid w:val="00535769"/>
    <w:rsid w:val="00536669"/>
    <w:rsid w:val="00541C26"/>
    <w:rsid w:val="00543241"/>
    <w:rsid w:val="00543CCD"/>
    <w:rsid w:val="005448A2"/>
    <w:rsid w:val="005449CB"/>
    <w:rsid w:val="00544ACE"/>
    <w:rsid w:val="0054582A"/>
    <w:rsid w:val="00546874"/>
    <w:rsid w:val="00552D23"/>
    <w:rsid w:val="005530BF"/>
    <w:rsid w:val="005534C0"/>
    <w:rsid w:val="0055444C"/>
    <w:rsid w:val="0055738F"/>
    <w:rsid w:val="00557AD8"/>
    <w:rsid w:val="00560096"/>
    <w:rsid w:val="00560735"/>
    <w:rsid w:val="00560C8A"/>
    <w:rsid w:val="00560E8C"/>
    <w:rsid w:val="005629D1"/>
    <w:rsid w:val="00563887"/>
    <w:rsid w:val="00564383"/>
    <w:rsid w:val="0056484F"/>
    <w:rsid w:val="00565B98"/>
    <w:rsid w:val="00565D7F"/>
    <w:rsid w:val="005672D9"/>
    <w:rsid w:val="005674C7"/>
    <w:rsid w:val="00571BC3"/>
    <w:rsid w:val="005721B1"/>
    <w:rsid w:val="00574C24"/>
    <w:rsid w:val="00575D5F"/>
    <w:rsid w:val="005762AD"/>
    <w:rsid w:val="00576A36"/>
    <w:rsid w:val="00577FCE"/>
    <w:rsid w:val="00581069"/>
    <w:rsid w:val="00581510"/>
    <w:rsid w:val="005815D6"/>
    <w:rsid w:val="005818A3"/>
    <w:rsid w:val="005824D6"/>
    <w:rsid w:val="0058265F"/>
    <w:rsid w:val="00582EC2"/>
    <w:rsid w:val="00583175"/>
    <w:rsid w:val="00585046"/>
    <w:rsid w:val="00592497"/>
    <w:rsid w:val="005924C0"/>
    <w:rsid w:val="005929B8"/>
    <w:rsid w:val="00592AD6"/>
    <w:rsid w:val="00594C68"/>
    <w:rsid w:val="005952DA"/>
    <w:rsid w:val="00595CFB"/>
    <w:rsid w:val="00596B33"/>
    <w:rsid w:val="005A0379"/>
    <w:rsid w:val="005A066C"/>
    <w:rsid w:val="005A1E11"/>
    <w:rsid w:val="005A3528"/>
    <w:rsid w:val="005A4358"/>
    <w:rsid w:val="005A4E22"/>
    <w:rsid w:val="005A5115"/>
    <w:rsid w:val="005A5C0F"/>
    <w:rsid w:val="005A73B9"/>
    <w:rsid w:val="005A76F6"/>
    <w:rsid w:val="005A7E44"/>
    <w:rsid w:val="005B08A1"/>
    <w:rsid w:val="005B2113"/>
    <w:rsid w:val="005B344F"/>
    <w:rsid w:val="005B35A0"/>
    <w:rsid w:val="005B35D9"/>
    <w:rsid w:val="005B3A5C"/>
    <w:rsid w:val="005B409C"/>
    <w:rsid w:val="005B4DAD"/>
    <w:rsid w:val="005B5BC1"/>
    <w:rsid w:val="005B6185"/>
    <w:rsid w:val="005B6283"/>
    <w:rsid w:val="005B6881"/>
    <w:rsid w:val="005C085B"/>
    <w:rsid w:val="005C235C"/>
    <w:rsid w:val="005C2427"/>
    <w:rsid w:val="005C45FD"/>
    <w:rsid w:val="005C4F27"/>
    <w:rsid w:val="005C61AA"/>
    <w:rsid w:val="005C6BEA"/>
    <w:rsid w:val="005C6DE6"/>
    <w:rsid w:val="005C74B7"/>
    <w:rsid w:val="005C7D00"/>
    <w:rsid w:val="005C7E3F"/>
    <w:rsid w:val="005D30B3"/>
    <w:rsid w:val="005D3A93"/>
    <w:rsid w:val="005D3AEC"/>
    <w:rsid w:val="005D3EDF"/>
    <w:rsid w:val="005D496A"/>
    <w:rsid w:val="005D5351"/>
    <w:rsid w:val="005D5A18"/>
    <w:rsid w:val="005D5F78"/>
    <w:rsid w:val="005D6CEA"/>
    <w:rsid w:val="005E0166"/>
    <w:rsid w:val="005E1429"/>
    <w:rsid w:val="005E1B89"/>
    <w:rsid w:val="005E25F1"/>
    <w:rsid w:val="005E2681"/>
    <w:rsid w:val="005E4541"/>
    <w:rsid w:val="005E4C38"/>
    <w:rsid w:val="005E4E11"/>
    <w:rsid w:val="005E5E8D"/>
    <w:rsid w:val="005E7A3E"/>
    <w:rsid w:val="005E7F57"/>
    <w:rsid w:val="005F01C9"/>
    <w:rsid w:val="005F1E33"/>
    <w:rsid w:val="005F24E3"/>
    <w:rsid w:val="005F48D6"/>
    <w:rsid w:val="005F4BD1"/>
    <w:rsid w:val="005F5476"/>
    <w:rsid w:val="00601A7A"/>
    <w:rsid w:val="00603C22"/>
    <w:rsid w:val="00604001"/>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0F8"/>
    <w:rsid w:val="00641A8A"/>
    <w:rsid w:val="00641D0A"/>
    <w:rsid w:val="0064216A"/>
    <w:rsid w:val="00642429"/>
    <w:rsid w:val="006442C9"/>
    <w:rsid w:val="00645817"/>
    <w:rsid w:val="00647170"/>
    <w:rsid w:val="006504A6"/>
    <w:rsid w:val="006509B5"/>
    <w:rsid w:val="0065144F"/>
    <w:rsid w:val="0065261B"/>
    <w:rsid w:val="00653F0F"/>
    <w:rsid w:val="00654075"/>
    <w:rsid w:val="00654154"/>
    <w:rsid w:val="00654B46"/>
    <w:rsid w:val="00654BD5"/>
    <w:rsid w:val="0065599F"/>
    <w:rsid w:val="00656EC3"/>
    <w:rsid w:val="0066025B"/>
    <w:rsid w:val="00661E64"/>
    <w:rsid w:val="00661E73"/>
    <w:rsid w:val="0066242A"/>
    <w:rsid w:val="00663B4A"/>
    <w:rsid w:val="006643E5"/>
    <w:rsid w:val="00665079"/>
    <w:rsid w:val="00666DCA"/>
    <w:rsid w:val="006670FE"/>
    <w:rsid w:val="0066762F"/>
    <w:rsid w:val="00667F67"/>
    <w:rsid w:val="0067120A"/>
    <w:rsid w:val="00671564"/>
    <w:rsid w:val="0067214F"/>
    <w:rsid w:val="0067252B"/>
    <w:rsid w:val="0067354F"/>
    <w:rsid w:val="0067374C"/>
    <w:rsid w:val="00674053"/>
    <w:rsid w:val="006745F2"/>
    <w:rsid w:val="006746A6"/>
    <w:rsid w:val="00675AEB"/>
    <w:rsid w:val="0067658C"/>
    <w:rsid w:val="00676CF7"/>
    <w:rsid w:val="00680447"/>
    <w:rsid w:val="006807DB"/>
    <w:rsid w:val="0068222B"/>
    <w:rsid w:val="00682587"/>
    <w:rsid w:val="00683520"/>
    <w:rsid w:val="0068402C"/>
    <w:rsid w:val="00685F44"/>
    <w:rsid w:val="00686FC1"/>
    <w:rsid w:val="00687EDC"/>
    <w:rsid w:val="00691128"/>
    <w:rsid w:val="00691B1E"/>
    <w:rsid w:val="00692DC9"/>
    <w:rsid w:val="00693C7B"/>
    <w:rsid w:val="00696EED"/>
    <w:rsid w:val="0069778B"/>
    <w:rsid w:val="006A21BF"/>
    <w:rsid w:val="006A2585"/>
    <w:rsid w:val="006A2844"/>
    <w:rsid w:val="006A33D3"/>
    <w:rsid w:val="006A3942"/>
    <w:rsid w:val="006A3ED4"/>
    <w:rsid w:val="006A482E"/>
    <w:rsid w:val="006A6BC5"/>
    <w:rsid w:val="006A7852"/>
    <w:rsid w:val="006B053F"/>
    <w:rsid w:val="006B13A4"/>
    <w:rsid w:val="006B3512"/>
    <w:rsid w:val="006B3F2F"/>
    <w:rsid w:val="006B68DF"/>
    <w:rsid w:val="006B68EF"/>
    <w:rsid w:val="006B7327"/>
    <w:rsid w:val="006B7BA1"/>
    <w:rsid w:val="006C1009"/>
    <w:rsid w:val="006C427D"/>
    <w:rsid w:val="006C5449"/>
    <w:rsid w:val="006C7D4F"/>
    <w:rsid w:val="006D0679"/>
    <w:rsid w:val="006D0C04"/>
    <w:rsid w:val="006D27E5"/>
    <w:rsid w:val="006D3D25"/>
    <w:rsid w:val="006D54D3"/>
    <w:rsid w:val="006D690E"/>
    <w:rsid w:val="006E1AFE"/>
    <w:rsid w:val="006E31E7"/>
    <w:rsid w:val="006E3B4F"/>
    <w:rsid w:val="006E53B8"/>
    <w:rsid w:val="006E6457"/>
    <w:rsid w:val="006E7535"/>
    <w:rsid w:val="006E7968"/>
    <w:rsid w:val="006F08F6"/>
    <w:rsid w:val="006F0ED6"/>
    <w:rsid w:val="006F17A2"/>
    <w:rsid w:val="006F1F29"/>
    <w:rsid w:val="006F3A21"/>
    <w:rsid w:val="006F42B7"/>
    <w:rsid w:val="006F48DD"/>
    <w:rsid w:val="006F5F46"/>
    <w:rsid w:val="006F6423"/>
    <w:rsid w:val="006F6E45"/>
    <w:rsid w:val="006F701B"/>
    <w:rsid w:val="00700CFD"/>
    <w:rsid w:val="007019C9"/>
    <w:rsid w:val="00705044"/>
    <w:rsid w:val="0070599A"/>
    <w:rsid w:val="00705C47"/>
    <w:rsid w:val="00705EEC"/>
    <w:rsid w:val="00705F6F"/>
    <w:rsid w:val="007067BD"/>
    <w:rsid w:val="00706850"/>
    <w:rsid w:val="00706941"/>
    <w:rsid w:val="00710797"/>
    <w:rsid w:val="00710F1A"/>
    <w:rsid w:val="00711D5B"/>
    <w:rsid w:val="00713C60"/>
    <w:rsid w:val="00716594"/>
    <w:rsid w:val="007174D1"/>
    <w:rsid w:val="00721D6D"/>
    <w:rsid w:val="00722B1C"/>
    <w:rsid w:val="007253BC"/>
    <w:rsid w:val="007253D2"/>
    <w:rsid w:val="0072637F"/>
    <w:rsid w:val="00727D4C"/>
    <w:rsid w:val="00730214"/>
    <w:rsid w:val="00730B81"/>
    <w:rsid w:val="00732F0F"/>
    <w:rsid w:val="00734AD2"/>
    <w:rsid w:val="00735190"/>
    <w:rsid w:val="00735199"/>
    <w:rsid w:val="00735EE4"/>
    <w:rsid w:val="00736793"/>
    <w:rsid w:val="007377A1"/>
    <w:rsid w:val="00741304"/>
    <w:rsid w:val="00743B10"/>
    <w:rsid w:val="00744FB7"/>
    <w:rsid w:val="0074577C"/>
    <w:rsid w:val="007457DE"/>
    <w:rsid w:val="00745B88"/>
    <w:rsid w:val="00747E17"/>
    <w:rsid w:val="00750B42"/>
    <w:rsid w:val="00750E8D"/>
    <w:rsid w:val="00751525"/>
    <w:rsid w:val="00751896"/>
    <w:rsid w:val="00753A6A"/>
    <w:rsid w:val="00753CCD"/>
    <w:rsid w:val="007567F3"/>
    <w:rsid w:val="0075778D"/>
    <w:rsid w:val="0075793C"/>
    <w:rsid w:val="00760E98"/>
    <w:rsid w:val="00760F73"/>
    <w:rsid w:val="00762021"/>
    <w:rsid w:val="00762580"/>
    <w:rsid w:val="0076328C"/>
    <w:rsid w:val="00764BF2"/>
    <w:rsid w:val="0076527D"/>
    <w:rsid w:val="00765E35"/>
    <w:rsid w:val="007663B9"/>
    <w:rsid w:val="00767632"/>
    <w:rsid w:val="00767A53"/>
    <w:rsid w:val="00770813"/>
    <w:rsid w:val="00770C14"/>
    <w:rsid w:val="00773D8D"/>
    <w:rsid w:val="007743CD"/>
    <w:rsid w:val="00774A2E"/>
    <w:rsid w:val="007765B7"/>
    <w:rsid w:val="00776BCA"/>
    <w:rsid w:val="00776D5B"/>
    <w:rsid w:val="00776ECA"/>
    <w:rsid w:val="00777317"/>
    <w:rsid w:val="00777558"/>
    <w:rsid w:val="00777D97"/>
    <w:rsid w:val="007812FE"/>
    <w:rsid w:val="00781779"/>
    <w:rsid w:val="00782113"/>
    <w:rsid w:val="00782580"/>
    <w:rsid w:val="0078449A"/>
    <w:rsid w:val="00784FD2"/>
    <w:rsid w:val="00786DB4"/>
    <w:rsid w:val="00792493"/>
    <w:rsid w:val="007936AB"/>
    <w:rsid w:val="0079454B"/>
    <w:rsid w:val="007948D4"/>
    <w:rsid w:val="00795DBD"/>
    <w:rsid w:val="00796251"/>
    <w:rsid w:val="007963EC"/>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789"/>
    <w:rsid w:val="007B2D8C"/>
    <w:rsid w:val="007B33DB"/>
    <w:rsid w:val="007B34D0"/>
    <w:rsid w:val="007B38B6"/>
    <w:rsid w:val="007B4299"/>
    <w:rsid w:val="007B434C"/>
    <w:rsid w:val="007B6998"/>
    <w:rsid w:val="007B6D8A"/>
    <w:rsid w:val="007B776B"/>
    <w:rsid w:val="007B7C07"/>
    <w:rsid w:val="007B7E2E"/>
    <w:rsid w:val="007C067C"/>
    <w:rsid w:val="007C116C"/>
    <w:rsid w:val="007C12C6"/>
    <w:rsid w:val="007C2A42"/>
    <w:rsid w:val="007C4564"/>
    <w:rsid w:val="007C5F2F"/>
    <w:rsid w:val="007C758F"/>
    <w:rsid w:val="007C7B34"/>
    <w:rsid w:val="007C7EF3"/>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1C0A"/>
    <w:rsid w:val="00801C75"/>
    <w:rsid w:val="00802D5C"/>
    <w:rsid w:val="008035D9"/>
    <w:rsid w:val="008055F3"/>
    <w:rsid w:val="00805DB8"/>
    <w:rsid w:val="0080650D"/>
    <w:rsid w:val="00807FF8"/>
    <w:rsid w:val="008118D4"/>
    <w:rsid w:val="008123CB"/>
    <w:rsid w:val="00813FD2"/>
    <w:rsid w:val="00814C32"/>
    <w:rsid w:val="00820591"/>
    <w:rsid w:val="008224D2"/>
    <w:rsid w:val="00824A1D"/>
    <w:rsid w:val="008250B3"/>
    <w:rsid w:val="008251EE"/>
    <w:rsid w:val="00826267"/>
    <w:rsid w:val="008272F5"/>
    <w:rsid w:val="00827E3B"/>
    <w:rsid w:val="00830055"/>
    <w:rsid w:val="0083030B"/>
    <w:rsid w:val="00830327"/>
    <w:rsid w:val="00831C8C"/>
    <w:rsid w:val="00834780"/>
    <w:rsid w:val="00835E75"/>
    <w:rsid w:val="0083622C"/>
    <w:rsid w:val="0083777A"/>
    <w:rsid w:val="00843566"/>
    <w:rsid w:val="00846809"/>
    <w:rsid w:val="00846D48"/>
    <w:rsid w:val="0084709E"/>
    <w:rsid w:val="00847120"/>
    <w:rsid w:val="00847AA0"/>
    <w:rsid w:val="008501D5"/>
    <w:rsid w:val="0085058C"/>
    <w:rsid w:val="008509F0"/>
    <w:rsid w:val="008512EB"/>
    <w:rsid w:val="00851730"/>
    <w:rsid w:val="00853592"/>
    <w:rsid w:val="00854CD9"/>
    <w:rsid w:val="0086028B"/>
    <w:rsid w:val="00860CFF"/>
    <w:rsid w:val="008614DA"/>
    <w:rsid w:val="00861980"/>
    <w:rsid w:val="0086215C"/>
    <w:rsid w:val="00862E97"/>
    <w:rsid w:val="00863EED"/>
    <w:rsid w:val="00864B1C"/>
    <w:rsid w:val="00865C8B"/>
    <w:rsid w:val="00870786"/>
    <w:rsid w:val="0087083E"/>
    <w:rsid w:val="00871327"/>
    <w:rsid w:val="008719E4"/>
    <w:rsid w:val="008730C6"/>
    <w:rsid w:val="008739BF"/>
    <w:rsid w:val="00873FBD"/>
    <w:rsid w:val="008742A6"/>
    <w:rsid w:val="008746B1"/>
    <w:rsid w:val="0087689C"/>
    <w:rsid w:val="00876DA9"/>
    <w:rsid w:val="008776D3"/>
    <w:rsid w:val="0087776F"/>
    <w:rsid w:val="00877A87"/>
    <w:rsid w:val="00880254"/>
    <w:rsid w:val="0088335B"/>
    <w:rsid w:val="00884559"/>
    <w:rsid w:val="008848D0"/>
    <w:rsid w:val="00885191"/>
    <w:rsid w:val="00885B25"/>
    <w:rsid w:val="00885F3B"/>
    <w:rsid w:val="00886A8C"/>
    <w:rsid w:val="00886D1B"/>
    <w:rsid w:val="00890A86"/>
    <w:rsid w:val="00891913"/>
    <w:rsid w:val="00891D3D"/>
    <w:rsid w:val="00892AAE"/>
    <w:rsid w:val="00892EBD"/>
    <w:rsid w:val="008934A9"/>
    <w:rsid w:val="00894267"/>
    <w:rsid w:val="00894B0F"/>
    <w:rsid w:val="00894B94"/>
    <w:rsid w:val="0089623B"/>
    <w:rsid w:val="0089680A"/>
    <w:rsid w:val="00897829"/>
    <w:rsid w:val="008A0BAC"/>
    <w:rsid w:val="008A1185"/>
    <w:rsid w:val="008A2557"/>
    <w:rsid w:val="008A2578"/>
    <w:rsid w:val="008A5209"/>
    <w:rsid w:val="008A6180"/>
    <w:rsid w:val="008B148A"/>
    <w:rsid w:val="008B22D6"/>
    <w:rsid w:val="008B2999"/>
    <w:rsid w:val="008B4923"/>
    <w:rsid w:val="008B6462"/>
    <w:rsid w:val="008B74E5"/>
    <w:rsid w:val="008B77B1"/>
    <w:rsid w:val="008C1658"/>
    <w:rsid w:val="008C229C"/>
    <w:rsid w:val="008C2CAB"/>
    <w:rsid w:val="008C4605"/>
    <w:rsid w:val="008C46DC"/>
    <w:rsid w:val="008C51DD"/>
    <w:rsid w:val="008C5F55"/>
    <w:rsid w:val="008C70E8"/>
    <w:rsid w:val="008D0321"/>
    <w:rsid w:val="008D105F"/>
    <w:rsid w:val="008D11BF"/>
    <w:rsid w:val="008D1B6B"/>
    <w:rsid w:val="008D1C51"/>
    <w:rsid w:val="008D1EFE"/>
    <w:rsid w:val="008D2CFC"/>
    <w:rsid w:val="008D2E6C"/>
    <w:rsid w:val="008D3675"/>
    <w:rsid w:val="008D6149"/>
    <w:rsid w:val="008D62E4"/>
    <w:rsid w:val="008E12A9"/>
    <w:rsid w:val="008E236E"/>
    <w:rsid w:val="008E29F8"/>
    <w:rsid w:val="008E4FF8"/>
    <w:rsid w:val="008E518E"/>
    <w:rsid w:val="008E6375"/>
    <w:rsid w:val="008E6577"/>
    <w:rsid w:val="008F07E0"/>
    <w:rsid w:val="008F0930"/>
    <w:rsid w:val="008F1127"/>
    <w:rsid w:val="008F3972"/>
    <w:rsid w:val="008F44FD"/>
    <w:rsid w:val="008F4D7A"/>
    <w:rsid w:val="008F4E06"/>
    <w:rsid w:val="008F4F7A"/>
    <w:rsid w:val="008F56A1"/>
    <w:rsid w:val="008F5E63"/>
    <w:rsid w:val="008F6A6C"/>
    <w:rsid w:val="008F6D24"/>
    <w:rsid w:val="008F6F96"/>
    <w:rsid w:val="008F7F39"/>
    <w:rsid w:val="00900956"/>
    <w:rsid w:val="00902590"/>
    <w:rsid w:val="00902CF5"/>
    <w:rsid w:val="00902E9A"/>
    <w:rsid w:val="0090337F"/>
    <w:rsid w:val="00903C57"/>
    <w:rsid w:val="0090562E"/>
    <w:rsid w:val="00906D5E"/>
    <w:rsid w:val="00906EE5"/>
    <w:rsid w:val="009132F2"/>
    <w:rsid w:val="00913E0F"/>
    <w:rsid w:val="00914AF2"/>
    <w:rsid w:val="00916CCD"/>
    <w:rsid w:val="009173C8"/>
    <w:rsid w:val="00920230"/>
    <w:rsid w:val="00920E46"/>
    <w:rsid w:val="009215D0"/>
    <w:rsid w:val="009226A0"/>
    <w:rsid w:val="00923519"/>
    <w:rsid w:val="009237BB"/>
    <w:rsid w:val="00924558"/>
    <w:rsid w:val="0092463A"/>
    <w:rsid w:val="00926235"/>
    <w:rsid w:val="00926F67"/>
    <w:rsid w:val="00927650"/>
    <w:rsid w:val="009303E1"/>
    <w:rsid w:val="00930C68"/>
    <w:rsid w:val="009310BA"/>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622"/>
    <w:rsid w:val="009454D3"/>
    <w:rsid w:val="009455C4"/>
    <w:rsid w:val="00946CA5"/>
    <w:rsid w:val="00951ABC"/>
    <w:rsid w:val="00952148"/>
    <w:rsid w:val="0095498F"/>
    <w:rsid w:val="00954A11"/>
    <w:rsid w:val="0095521A"/>
    <w:rsid w:val="00955659"/>
    <w:rsid w:val="009562EF"/>
    <w:rsid w:val="0095638C"/>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5D9D"/>
    <w:rsid w:val="00977078"/>
    <w:rsid w:val="00980249"/>
    <w:rsid w:val="0098087A"/>
    <w:rsid w:val="00980C77"/>
    <w:rsid w:val="00982D08"/>
    <w:rsid w:val="00982E44"/>
    <w:rsid w:val="00983051"/>
    <w:rsid w:val="0098667D"/>
    <w:rsid w:val="00986B23"/>
    <w:rsid w:val="00986C77"/>
    <w:rsid w:val="00987FB4"/>
    <w:rsid w:val="00990E46"/>
    <w:rsid w:val="0099480F"/>
    <w:rsid w:val="00994CE4"/>
    <w:rsid w:val="00996C9F"/>
    <w:rsid w:val="009A359F"/>
    <w:rsid w:val="009A4E37"/>
    <w:rsid w:val="009A5719"/>
    <w:rsid w:val="009A5E8F"/>
    <w:rsid w:val="009A718B"/>
    <w:rsid w:val="009A7F4D"/>
    <w:rsid w:val="009B2A68"/>
    <w:rsid w:val="009B319C"/>
    <w:rsid w:val="009B3AB2"/>
    <w:rsid w:val="009B4256"/>
    <w:rsid w:val="009B5492"/>
    <w:rsid w:val="009B5879"/>
    <w:rsid w:val="009B6524"/>
    <w:rsid w:val="009B71A8"/>
    <w:rsid w:val="009C2E0E"/>
    <w:rsid w:val="009C347E"/>
    <w:rsid w:val="009C4870"/>
    <w:rsid w:val="009C6275"/>
    <w:rsid w:val="009C7738"/>
    <w:rsid w:val="009C7C12"/>
    <w:rsid w:val="009D064E"/>
    <w:rsid w:val="009D0968"/>
    <w:rsid w:val="009D1BAC"/>
    <w:rsid w:val="009D239E"/>
    <w:rsid w:val="009D2C13"/>
    <w:rsid w:val="009D5746"/>
    <w:rsid w:val="009D6D66"/>
    <w:rsid w:val="009D7A30"/>
    <w:rsid w:val="009E0339"/>
    <w:rsid w:val="009E16F6"/>
    <w:rsid w:val="009E1E13"/>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06009"/>
    <w:rsid w:val="00A11DD7"/>
    <w:rsid w:val="00A1201E"/>
    <w:rsid w:val="00A126B8"/>
    <w:rsid w:val="00A1379C"/>
    <w:rsid w:val="00A142CF"/>
    <w:rsid w:val="00A14E86"/>
    <w:rsid w:val="00A150ED"/>
    <w:rsid w:val="00A15F3F"/>
    <w:rsid w:val="00A1614B"/>
    <w:rsid w:val="00A20190"/>
    <w:rsid w:val="00A210FF"/>
    <w:rsid w:val="00A21F1B"/>
    <w:rsid w:val="00A2238E"/>
    <w:rsid w:val="00A22C14"/>
    <w:rsid w:val="00A23489"/>
    <w:rsid w:val="00A240F1"/>
    <w:rsid w:val="00A2452A"/>
    <w:rsid w:val="00A254CF"/>
    <w:rsid w:val="00A255B1"/>
    <w:rsid w:val="00A26EB2"/>
    <w:rsid w:val="00A26F1E"/>
    <w:rsid w:val="00A27CBF"/>
    <w:rsid w:val="00A31756"/>
    <w:rsid w:val="00A31918"/>
    <w:rsid w:val="00A320D6"/>
    <w:rsid w:val="00A34F47"/>
    <w:rsid w:val="00A3510A"/>
    <w:rsid w:val="00A35D80"/>
    <w:rsid w:val="00A37B17"/>
    <w:rsid w:val="00A404C3"/>
    <w:rsid w:val="00A416ED"/>
    <w:rsid w:val="00A41770"/>
    <w:rsid w:val="00A41DD1"/>
    <w:rsid w:val="00A44D58"/>
    <w:rsid w:val="00A46B98"/>
    <w:rsid w:val="00A470D2"/>
    <w:rsid w:val="00A47B2E"/>
    <w:rsid w:val="00A51D84"/>
    <w:rsid w:val="00A53A68"/>
    <w:rsid w:val="00A55DD3"/>
    <w:rsid w:val="00A562E1"/>
    <w:rsid w:val="00A57402"/>
    <w:rsid w:val="00A57F04"/>
    <w:rsid w:val="00A61CBC"/>
    <w:rsid w:val="00A61FE9"/>
    <w:rsid w:val="00A62B96"/>
    <w:rsid w:val="00A630ED"/>
    <w:rsid w:val="00A64E6B"/>
    <w:rsid w:val="00A70AC6"/>
    <w:rsid w:val="00A7137F"/>
    <w:rsid w:val="00A71F07"/>
    <w:rsid w:val="00A72179"/>
    <w:rsid w:val="00A725FB"/>
    <w:rsid w:val="00A7316A"/>
    <w:rsid w:val="00A74C0E"/>
    <w:rsid w:val="00A74D84"/>
    <w:rsid w:val="00A75179"/>
    <w:rsid w:val="00A75277"/>
    <w:rsid w:val="00A768F6"/>
    <w:rsid w:val="00A77E91"/>
    <w:rsid w:val="00A800A4"/>
    <w:rsid w:val="00A803FE"/>
    <w:rsid w:val="00A8277B"/>
    <w:rsid w:val="00A8316A"/>
    <w:rsid w:val="00A838D7"/>
    <w:rsid w:val="00A8432D"/>
    <w:rsid w:val="00A8523D"/>
    <w:rsid w:val="00A85466"/>
    <w:rsid w:val="00A87568"/>
    <w:rsid w:val="00A942B1"/>
    <w:rsid w:val="00A9458F"/>
    <w:rsid w:val="00A9616F"/>
    <w:rsid w:val="00A96B7F"/>
    <w:rsid w:val="00AA372F"/>
    <w:rsid w:val="00AA55C9"/>
    <w:rsid w:val="00AB01AF"/>
    <w:rsid w:val="00AB0448"/>
    <w:rsid w:val="00AB0DE4"/>
    <w:rsid w:val="00AB2494"/>
    <w:rsid w:val="00AB257C"/>
    <w:rsid w:val="00AB5759"/>
    <w:rsid w:val="00AB5C39"/>
    <w:rsid w:val="00AB6482"/>
    <w:rsid w:val="00AB7C0D"/>
    <w:rsid w:val="00AC1770"/>
    <w:rsid w:val="00AC2250"/>
    <w:rsid w:val="00AC2F4D"/>
    <w:rsid w:val="00AC5871"/>
    <w:rsid w:val="00AC593C"/>
    <w:rsid w:val="00AC5ABF"/>
    <w:rsid w:val="00AC624A"/>
    <w:rsid w:val="00AC7ECD"/>
    <w:rsid w:val="00AD0059"/>
    <w:rsid w:val="00AD0079"/>
    <w:rsid w:val="00AD1180"/>
    <w:rsid w:val="00AD11CF"/>
    <w:rsid w:val="00AD247B"/>
    <w:rsid w:val="00AD260F"/>
    <w:rsid w:val="00AD5869"/>
    <w:rsid w:val="00AD6020"/>
    <w:rsid w:val="00AD678D"/>
    <w:rsid w:val="00AD6981"/>
    <w:rsid w:val="00AD7402"/>
    <w:rsid w:val="00AD793F"/>
    <w:rsid w:val="00AD7D2E"/>
    <w:rsid w:val="00AE0D4E"/>
    <w:rsid w:val="00AE1736"/>
    <w:rsid w:val="00AE328E"/>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832"/>
    <w:rsid w:val="00B07B5E"/>
    <w:rsid w:val="00B1061F"/>
    <w:rsid w:val="00B12EA0"/>
    <w:rsid w:val="00B13082"/>
    <w:rsid w:val="00B152C5"/>
    <w:rsid w:val="00B15D42"/>
    <w:rsid w:val="00B163CE"/>
    <w:rsid w:val="00B20614"/>
    <w:rsid w:val="00B219CE"/>
    <w:rsid w:val="00B22324"/>
    <w:rsid w:val="00B22FFC"/>
    <w:rsid w:val="00B2589E"/>
    <w:rsid w:val="00B26AC4"/>
    <w:rsid w:val="00B27D11"/>
    <w:rsid w:val="00B31068"/>
    <w:rsid w:val="00B31BA9"/>
    <w:rsid w:val="00B31F49"/>
    <w:rsid w:val="00B32F36"/>
    <w:rsid w:val="00B340AB"/>
    <w:rsid w:val="00B34B6A"/>
    <w:rsid w:val="00B35612"/>
    <w:rsid w:val="00B35EB5"/>
    <w:rsid w:val="00B35FC8"/>
    <w:rsid w:val="00B36125"/>
    <w:rsid w:val="00B378CD"/>
    <w:rsid w:val="00B41E91"/>
    <w:rsid w:val="00B41ED1"/>
    <w:rsid w:val="00B422A4"/>
    <w:rsid w:val="00B424D4"/>
    <w:rsid w:val="00B42BA7"/>
    <w:rsid w:val="00B44EA7"/>
    <w:rsid w:val="00B45830"/>
    <w:rsid w:val="00B45E60"/>
    <w:rsid w:val="00B46B6A"/>
    <w:rsid w:val="00B47077"/>
    <w:rsid w:val="00B47E0F"/>
    <w:rsid w:val="00B509F0"/>
    <w:rsid w:val="00B51850"/>
    <w:rsid w:val="00B60A07"/>
    <w:rsid w:val="00B61A54"/>
    <w:rsid w:val="00B650F0"/>
    <w:rsid w:val="00B6573F"/>
    <w:rsid w:val="00B668CE"/>
    <w:rsid w:val="00B67112"/>
    <w:rsid w:val="00B67610"/>
    <w:rsid w:val="00B67AEF"/>
    <w:rsid w:val="00B7203C"/>
    <w:rsid w:val="00B72C67"/>
    <w:rsid w:val="00B74CA9"/>
    <w:rsid w:val="00B75F6F"/>
    <w:rsid w:val="00B77146"/>
    <w:rsid w:val="00B8113D"/>
    <w:rsid w:val="00B815E3"/>
    <w:rsid w:val="00B8194E"/>
    <w:rsid w:val="00B83A17"/>
    <w:rsid w:val="00B83B3C"/>
    <w:rsid w:val="00B843BD"/>
    <w:rsid w:val="00B845DB"/>
    <w:rsid w:val="00B85017"/>
    <w:rsid w:val="00B8534F"/>
    <w:rsid w:val="00B856FD"/>
    <w:rsid w:val="00B863DE"/>
    <w:rsid w:val="00B866EB"/>
    <w:rsid w:val="00B86C7D"/>
    <w:rsid w:val="00B8725D"/>
    <w:rsid w:val="00B91313"/>
    <w:rsid w:val="00B944BD"/>
    <w:rsid w:val="00B947BD"/>
    <w:rsid w:val="00B94FD9"/>
    <w:rsid w:val="00B96336"/>
    <w:rsid w:val="00B9665A"/>
    <w:rsid w:val="00BA14D2"/>
    <w:rsid w:val="00BA2AAA"/>
    <w:rsid w:val="00BA2EF3"/>
    <w:rsid w:val="00BA44F6"/>
    <w:rsid w:val="00BA4A95"/>
    <w:rsid w:val="00BA4C28"/>
    <w:rsid w:val="00BA6AB6"/>
    <w:rsid w:val="00BA6CF2"/>
    <w:rsid w:val="00BB5F51"/>
    <w:rsid w:val="00BB631F"/>
    <w:rsid w:val="00BB63A1"/>
    <w:rsid w:val="00BC2308"/>
    <w:rsid w:val="00BC3031"/>
    <w:rsid w:val="00BC3941"/>
    <w:rsid w:val="00BC585F"/>
    <w:rsid w:val="00BC5D62"/>
    <w:rsid w:val="00BC725F"/>
    <w:rsid w:val="00BC7B72"/>
    <w:rsid w:val="00BC7E84"/>
    <w:rsid w:val="00BD0121"/>
    <w:rsid w:val="00BD072E"/>
    <w:rsid w:val="00BD199F"/>
    <w:rsid w:val="00BD206F"/>
    <w:rsid w:val="00BD373C"/>
    <w:rsid w:val="00BD4A1A"/>
    <w:rsid w:val="00BD5469"/>
    <w:rsid w:val="00BD6373"/>
    <w:rsid w:val="00BD67E3"/>
    <w:rsid w:val="00BE0E17"/>
    <w:rsid w:val="00BE1760"/>
    <w:rsid w:val="00BE258C"/>
    <w:rsid w:val="00BE2727"/>
    <w:rsid w:val="00BE36E4"/>
    <w:rsid w:val="00BE63F2"/>
    <w:rsid w:val="00BE7655"/>
    <w:rsid w:val="00BE774C"/>
    <w:rsid w:val="00BF015F"/>
    <w:rsid w:val="00BF25BE"/>
    <w:rsid w:val="00BF3390"/>
    <w:rsid w:val="00BF557D"/>
    <w:rsid w:val="00BF5C9B"/>
    <w:rsid w:val="00BF5CC4"/>
    <w:rsid w:val="00BF62C6"/>
    <w:rsid w:val="00BF7866"/>
    <w:rsid w:val="00C01128"/>
    <w:rsid w:val="00C015F3"/>
    <w:rsid w:val="00C0199B"/>
    <w:rsid w:val="00C0287B"/>
    <w:rsid w:val="00C0470A"/>
    <w:rsid w:val="00C047D6"/>
    <w:rsid w:val="00C047F4"/>
    <w:rsid w:val="00C04838"/>
    <w:rsid w:val="00C0521A"/>
    <w:rsid w:val="00C05CA7"/>
    <w:rsid w:val="00C06421"/>
    <w:rsid w:val="00C06CAB"/>
    <w:rsid w:val="00C0735B"/>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106"/>
    <w:rsid w:val="00C2736F"/>
    <w:rsid w:val="00C313E2"/>
    <w:rsid w:val="00C31E39"/>
    <w:rsid w:val="00C3370B"/>
    <w:rsid w:val="00C34A6B"/>
    <w:rsid w:val="00C3543F"/>
    <w:rsid w:val="00C3554A"/>
    <w:rsid w:val="00C367FA"/>
    <w:rsid w:val="00C40C4C"/>
    <w:rsid w:val="00C41363"/>
    <w:rsid w:val="00C4147F"/>
    <w:rsid w:val="00C42EAE"/>
    <w:rsid w:val="00C44443"/>
    <w:rsid w:val="00C446F6"/>
    <w:rsid w:val="00C44CAD"/>
    <w:rsid w:val="00C45897"/>
    <w:rsid w:val="00C45D49"/>
    <w:rsid w:val="00C45E92"/>
    <w:rsid w:val="00C46BA8"/>
    <w:rsid w:val="00C47003"/>
    <w:rsid w:val="00C50050"/>
    <w:rsid w:val="00C50577"/>
    <w:rsid w:val="00C50B79"/>
    <w:rsid w:val="00C51CED"/>
    <w:rsid w:val="00C52C05"/>
    <w:rsid w:val="00C5368E"/>
    <w:rsid w:val="00C5489E"/>
    <w:rsid w:val="00C557DA"/>
    <w:rsid w:val="00C56703"/>
    <w:rsid w:val="00C57964"/>
    <w:rsid w:val="00C5796B"/>
    <w:rsid w:val="00C6021F"/>
    <w:rsid w:val="00C60A12"/>
    <w:rsid w:val="00C6106C"/>
    <w:rsid w:val="00C61EF0"/>
    <w:rsid w:val="00C62286"/>
    <w:rsid w:val="00C62EDE"/>
    <w:rsid w:val="00C65343"/>
    <w:rsid w:val="00C66204"/>
    <w:rsid w:val="00C66805"/>
    <w:rsid w:val="00C70C8B"/>
    <w:rsid w:val="00C70D47"/>
    <w:rsid w:val="00C73204"/>
    <w:rsid w:val="00C73211"/>
    <w:rsid w:val="00C765E1"/>
    <w:rsid w:val="00C76827"/>
    <w:rsid w:val="00C77060"/>
    <w:rsid w:val="00C80A47"/>
    <w:rsid w:val="00C81A65"/>
    <w:rsid w:val="00C81BB5"/>
    <w:rsid w:val="00C837F1"/>
    <w:rsid w:val="00C86B44"/>
    <w:rsid w:val="00C86CBD"/>
    <w:rsid w:val="00C8746A"/>
    <w:rsid w:val="00C904AD"/>
    <w:rsid w:val="00C90A61"/>
    <w:rsid w:val="00C91731"/>
    <w:rsid w:val="00C920BF"/>
    <w:rsid w:val="00C921BC"/>
    <w:rsid w:val="00C93673"/>
    <w:rsid w:val="00C93EB5"/>
    <w:rsid w:val="00C9598B"/>
    <w:rsid w:val="00C95E64"/>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BE9"/>
    <w:rsid w:val="00CB1446"/>
    <w:rsid w:val="00CB1C46"/>
    <w:rsid w:val="00CB2440"/>
    <w:rsid w:val="00CB2C0B"/>
    <w:rsid w:val="00CB3B16"/>
    <w:rsid w:val="00CB5308"/>
    <w:rsid w:val="00CB5782"/>
    <w:rsid w:val="00CB5A43"/>
    <w:rsid w:val="00CB5E3A"/>
    <w:rsid w:val="00CB6950"/>
    <w:rsid w:val="00CB6BB6"/>
    <w:rsid w:val="00CB6DED"/>
    <w:rsid w:val="00CB7CB4"/>
    <w:rsid w:val="00CC30E6"/>
    <w:rsid w:val="00CC36B2"/>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26A0"/>
    <w:rsid w:val="00CE29E1"/>
    <w:rsid w:val="00CE3243"/>
    <w:rsid w:val="00CE32FB"/>
    <w:rsid w:val="00CE3BC5"/>
    <w:rsid w:val="00CE4580"/>
    <w:rsid w:val="00CE4FC4"/>
    <w:rsid w:val="00CE5D7F"/>
    <w:rsid w:val="00CE7DDB"/>
    <w:rsid w:val="00CF072C"/>
    <w:rsid w:val="00CF1625"/>
    <w:rsid w:val="00CF1DD3"/>
    <w:rsid w:val="00CF2141"/>
    <w:rsid w:val="00CF2FC5"/>
    <w:rsid w:val="00CF3BF0"/>
    <w:rsid w:val="00CF3FDF"/>
    <w:rsid w:val="00CF42C5"/>
    <w:rsid w:val="00CF4A01"/>
    <w:rsid w:val="00CF58C7"/>
    <w:rsid w:val="00CF5E26"/>
    <w:rsid w:val="00CF6255"/>
    <w:rsid w:val="00CF6D8E"/>
    <w:rsid w:val="00CF711B"/>
    <w:rsid w:val="00D007FC"/>
    <w:rsid w:val="00D013D3"/>
    <w:rsid w:val="00D01D13"/>
    <w:rsid w:val="00D01D31"/>
    <w:rsid w:val="00D02030"/>
    <w:rsid w:val="00D02565"/>
    <w:rsid w:val="00D02847"/>
    <w:rsid w:val="00D0766F"/>
    <w:rsid w:val="00D12184"/>
    <w:rsid w:val="00D13B6E"/>
    <w:rsid w:val="00D13E16"/>
    <w:rsid w:val="00D13F9F"/>
    <w:rsid w:val="00D14284"/>
    <w:rsid w:val="00D14D42"/>
    <w:rsid w:val="00D15A36"/>
    <w:rsid w:val="00D2017C"/>
    <w:rsid w:val="00D212F1"/>
    <w:rsid w:val="00D21E08"/>
    <w:rsid w:val="00D2255D"/>
    <w:rsid w:val="00D23B52"/>
    <w:rsid w:val="00D23F02"/>
    <w:rsid w:val="00D2533D"/>
    <w:rsid w:val="00D25A01"/>
    <w:rsid w:val="00D27A55"/>
    <w:rsid w:val="00D306D4"/>
    <w:rsid w:val="00D307C5"/>
    <w:rsid w:val="00D30ABA"/>
    <w:rsid w:val="00D30C8F"/>
    <w:rsid w:val="00D30E30"/>
    <w:rsid w:val="00D318E9"/>
    <w:rsid w:val="00D33761"/>
    <w:rsid w:val="00D34831"/>
    <w:rsid w:val="00D360FF"/>
    <w:rsid w:val="00D368BF"/>
    <w:rsid w:val="00D37F30"/>
    <w:rsid w:val="00D42145"/>
    <w:rsid w:val="00D439ED"/>
    <w:rsid w:val="00D43AFD"/>
    <w:rsid w:val="00D443D8"/>
    <w:rsid w:val="00D45152"/>
    <w:rsid w:val="00D476DC"/>
    <w:rsid w:val="00D47A80"/>
    <w:rsid w:val="00D47A9E"/>
    <w:rsid w:val="00D47BE7"/>
    <w:rsid w:val="00D509DF"/>
    <w:rsid w:val="00D5115B"/>
    <w:rsid w:val="00D52FCA"/>
    <w:rsid w:val="00D53FDB"/>
    <w:rsid w:val="00D54D3C"/>
    <w:rsid w:val="00D550B9"/>
    <w:rsid w:val="00D56BF0"/>
    <w:rsid w:val="00D61EBE"/>
    <w:rsid w:val="00D64F0B"/>
    <w:rsid w:val="00D66B18"/>
    <w:rsid w:val="00D66E70"/>
    <w:rsid w:val="00D725F2"/>
    <w:rsid w:val="00D725FA"/>
    <w:rsid w:val="00D72AEE"/>
    <w:rsid w:val="00D731DC"/>
    <w:rsid w:val="00D7392B"/>
    <w:rsid w:val="00D755CB"/>
    <w:rsid w:val="00D75644"/>
    <w:rsid w:val="00D75655"/>
    <w:rsid w:val="00D75F16"/>
    <w:rsid w:val="00D76131"/>
    <w:rsid w:val="00D76B92"/>
    <w:rsid w:val="00D81DCD"/>
    <w:rsid w:val="00D82219"/>
    <w:rsid w:val="00D823CA"/>
    <w:rsid w:val="00D83076"/>
    <w:rsid w:val="00D831B7"/>
    <w:rsid w:val="00D8408C"/>
    <w:rsid w:val="00D84F26"/>
    <w:rsid w:val="00D86CFC"/>
    <w:rsid w:val="00D92F0A"/>
    <w:rsid w:val="00D92F27"/>
    <w:rsid w:val="00D947BA"/>
    <w:rsid w:val="00D94880"/>
    <w:rsid w:val="00D95481"/>
    <w:rsid w:val="00D95D92"/>
    <w:rsid w:val="00D96889"/>
    <w:rsid w:val="00D96BFC"/>
    <w:rsid w:val="00D97BC1"/>
    <w:rsid w:val="00D97F22"/>
    <w:rsid w:val="00DA11FF"/>
    <w:rsid w:val="00DA1E2C"/>
    <w:rsid w:val="00DA2907"/>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6BD"/>
    <w:rsid w:val="00DC5955"/>
    <w:rsid w:val="00DC7CD3"/>
    <w:rsid w:val="00DD05A3"/>
    <w:rsid w:val="00DD1053"/>
    <w:rsid w:val="00DD1761"/>
    <w:rsid w:val="00DD1942"/>
    <w:rsid w:val="00DD2153"/>
    <w:rsid w:val="00DD29F1"/>
    <w:rsid w:val="00DD2E34"/>
    <w:rsid w:val="00DD2FBA"/>
    <w:rsid w:val="00DD40F2"/>
    <w:rsid w:val="00DD495A"/>
    <w:rsid w:val="00DD4EC8"/>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46CF"/>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3404"/>
    <w:rsid w:val="00E24AC0"/>
    <w:rsid w:val="00E24EBD"/>
    <w:rsid w:val="00E250F2"/>
    <w:rsid w:val="00E25ED3"/>
    <w:rsid w:val="00E267A4"/>
    <w:rsid w:val="00E277C0"/>
    <w:rsid w:val="00E277F4"/>
    <w:rsid w:val="00E308D4"/>
    <w:rsid w:val="00E319BD"/>
    <w:rsid w:val="00E31CBB"/>
    <w:rsid w:val="00E34586"/>
    <w:rsid w:val="00E34C99"/>
    <w:rsid w:val="00E35872"/>
    <w:rsid w:val="00E37FD3"/>
    <w:rsid w:val="00E41549"/>
    <w:rsid w:val="00E41AB1"/>
    <w:rsid w:val="00E41CB3"/>
    <w:rsid w:val="00E43067"/>
    <w:rsid w:val="00E44FA1"/>
    <w:rsid w:val="00E45374"/>
    <w:rsid w:val="00E50575"/>
    <w:rsid w:val="00E52297"/>
    <w:rsid w:val="00E53161"/>
    <w:rsid w:val="00E53701"/>
    <w:rsid w:val="00E54331"/>
    <w:rsid w:val="00E54BAB"/>
    <w:rsid w:val="00E54E07"/>
    <w:rsid w:val="00E5516C"/>
    <w:rsid w:val="00E55498"/>
    <w:rsid w:val="00E561BB"/>
    <w:rsid w:val="00E5684E"/>
    <w:rsid w:val="00E568A9"/>
    <w:rsid w:val="00E57E6E"/>
    <w:rsid w:val="00E57FB9"/>
    <w:rsid w:val="00E61773"/>
    <w:rsid w:val="00E65895"/>
    <w:rsid w:val="00E67518"/>
    <w:rsid w:val="00E6773F"/>
    <w:rsid w:val="00E70C74"/>
    <w:rsid w:val="00E70C94"/>
    <w:rsid w:val="00E70DEA"/>
    <w:rsid w:val="00E71446"/>
    <w:rsid w:val="00E716C3"/>
    <w:rsid w:val="00E735D2"/>
    <w:rsid w:val="00E739D8"/>
    <w:rsid w:val="00E74C6E"/>
    <w:rsid w:val="00E757D1"/>
    <w:rsid w:val="00E75FAD"/>
    <w:rsid w:val="00E76AAF"/>
    <w:rsid w:val="00E7737A"/>
    <w:rsid w:val="00E77A4F"/>
    <w:rsid w:val="00E82528"/>
    <w:rsid w:val="00E825D5"/>
    <w:rsid w:val="00E831BA"/>
    <w:rsid w:val="00E83F1C"/>
    <w:rsid w:val="00E8734E"/>
    <w:rsid w:val="00E875A3"/>
    <w:rsid w:val="00E90229"/>
    <w:rsid w:val="00E91B04"/>
    <w:rsid w:val="00E941B2"/>
    <w:rsid w:val="00E94E86"/>
    <w:rsid w:val="00E960A8"/>
    <w:rsid w:val="00E961B9"/>
    <w:rsid w:val="00E968A8"/>
    <w:rsid w:val="00E968BD"/>
    <w:rsid w:val="00EA309C"/>
    <w:rsid w:val="00EA3724"/>
    <w:rsid w:val="00EA47B0"/>
    <w:rsid w:val="00EA6CA0"/>
    <w:rsid w:val="00EB0118"/>
    <w:rsid w:val="00EB2F8C"/>
    <w:rsid w:val="00EB33F7"/>
    <w:rsid w:val="00EB6F94"/>
    <w:rsid w:val="00EC0380"/>
    <w:rsid w:val="00EC0675"/>
    <w:rsid w:val="00EC2BAA"/>
    <w:rsid w:val="00EC30D4"/>
    <w:rsid w:val="00EC3722"/>
    <w:rsid w:val="00EC7C23"/>
    <w:rsid w:val="00ED140D"/>
    <w:rsid w:val="00ED14FC"/>
    <w:rsid w:val="00ED1B3A"/>
    <w:rsid w:val="00ED29C0"/>
    <w:rsid w:val="00ED3103"/>
    <w:rsid w:val="00ED3C2D"/>
    <w:rsid w:val="00ED5BAE"/>
    <w:rsid w:val="00ED6828"/>
    <w:rsid w:val="00ED6858"/>
    <w:rsid w:val="00ED7195"/>
    <w:rsid w:val="00EE05B4"/>
    <w:rsid w:val="00EE1111"/>
    <w:rsid w:val="00EE34C9"/>
    <w:rsid w:val="00EE4CC5"/>
    <w:rsid w:val="00EF0748"/>
    <w:rsid w:val="00EF0A1A"/>
    <w:rsid w:val="00EF1E57"/>
    <w:rsid w:val="00EF28F3"/>
    <w:rsid w:val="00EF295D"/>
    <w:rsid w:val="00EF4AFD"/>
    <w:rsid w:val="00EF55B4"/>
    <w:rsid w:val="00EF6E27"/>
    <w:rsid w:val="00F0078B"/>
    <w:rsid w:val="00F03DA6"/>
    <w:rsid w:val="00F05896"/>
    <w:rsid w:val="00F07ED1"/>
    <w:rsid w:val="00F104AB"/>
    <w:rsid w:val="00F10DAC"/>
    <w:rsid w:val="00F10ED1"/>
    <w:rsid w:val="00F13816"/>
    <w:rsid w:val="00F16151"/>
    <w:rsid w:val="00F1621E"/>
    <w:rsid w:val="00F179B7"/>
    <w:rsid w:val="00F17D9F"/>
    <w:rsid w:val="00F2065B"/>
    <w:rsid w:val="00F2146B"/>
    <w:rsid w:val="00F21D6D"/>
    <w:rsid w:val="00F223A5"/>
    <w:rsid w:val="00F22DBF"/>
    <w:rsid w:val="00F231DC"/>
    <w:rsid w:val="00F234BF"/>
    <w:rsid w:val="00F235D4"/>
    <w:rsid w:val="00F24ECA"/>
    <w:rsid w:val="00F27788"/>
    <w:rsid w:val="00F277F7"/>
    <w:rsid w:val="00F2795E"/>
    <w:rsid w:val="00F27C6F"/>
    <w:rsid w:val="00F309F5"/>
    <w:rsid w:val="00F30BE3"/>
    <w:rsid w:val="00F30EA5"/>
    <w:rsid w:val="00F32388"/>
    <w:rsid w:val="00F3558E"/>
    <w:rsid w:val="00F37E20"/>
    <w:rsid w:val="00F405AE"/>
    <w:rsid w:val="00F42766"/>
    <w:rsid w:val="00F46263"/>
    <w:rsid w:val="00F47A60"/>
    <w:rsid w:val="00F50498"/>
    <w:rsid w:val="00F53E16"/>
    <w:rsid w:val="00F5547B"/>
    <w:rsid w:val="00F55BC9"/>
    <w:rsid w:val="00F55C03"/>
    <w:rsid w:val="00F56956"/>
    <w:rsid w:val="00F602EA"/>
    <w:rsid w:val="00F60998"/>
    <w:rsid w:val="00F60C2B"/>
    <w:rsid w:val="00F6228C"/>
    <w:rsid w:val="00F63C9F"/>
    <w:rsid w:val="00F65B6F"/>
    <w:rsid w:val="00F65E0A"/>
    <w:rsid w:val="00F6682D"/>
    <w:rsid w:val="00F66FE4"/>
    <w:rsid w:val="00F7046B"/>
    <w:rsid w:val="00F71D68"/>
    <w:rsid w:val="00F71ED2"/>
    <w:rsid w:val="00F7696C"/>
    <w:rsid w:val="00F8013E"/>
    <w:rsid w:val="00F80E6F"/>
    <w:rsid w:val="00F81168"/>
    <w:rsid w:val="00F81627"/>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317E"/>
    <w:rsid w:val="00FA3216"/>
    <w:rsid w:val="00FA5710"/>
    <w:rsid w:val="00FA7328"/>
    <w:rsid w:val="00FB0AAA"/>
    <w:rsid w:val="00FB0D4E"/>
    <w:rsid w:val="00FB0F37"/>
    <w:rsid w:val="00FB1774"/>
    <w:rsid w:val="00FB1C7F"/>
    <w:rsid w:val="00FB2BEE"/>
    <w:rsid w:val="00FB48CA"/>
    <w:rsid w:val="00FB513E"/>
    <w:rsid w:val="00FB594B"/>
    <w:rsid w:val="00FB6583"/>
    <w:rsid w:val="00FB70A7"/>
    <w:rsid w:val="00FB7CD4"/>
    <w:rsid w:val="00FC05A6"/>
    <w:rsid w:val="00FC090B"/>
    <w:rsid w:val="00FC1532"/>
    <w:rsid w:val="00FC6689"/>
    <w:rsid w:val="00FC681B"/>
    <w:rsid w:val="00FD2E78"/>
    <w:rsid w:val="00FD319C"/>
    <w:rsid w:val="00FD432A"/>
    <w:rsid w:val="00FD5FCA"/>
    <w:rsid w:val="00FD6F92"/>
    <w:rsid w:val="00FE0536"/>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296F"/>
    <w:rsid w:val="00FF3D10"/>
    <w:rsid w:val="00FF4827"/>
    <w:rsid w:val="00FF4A1F"/>
    <w:rsid w:val="00FF4BF2"/>
    <w:rsid w:val="00FF65AD"/>
    <w:rsid w:val="24D67A68"/>
    <w:rsid w:val="5CF266B4"/>
    <w:rsid w:val="5FFF0CF4"/>
    <w:rsid w:val="6760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 w:type="table" w:customStyle="1" w:styleId="12">
    <w:name w:val="网格型1"/>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 w:type="table" w:customStyle="1" w:styleId="12">
    <w:name w:val="网格型1"/>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7014">
      <w:bodyDiv w:val="1"/>
      <w:marLeft w:val="0"/>
      <w:marRight w:val="0"/>
      <w:marTop w:val="0"/>
      <w:marBottom w:val="0"/>
      <w:divBdr>
        <w:top w:val="none" w:sz="0" w:space="0" w:color="auto"/>
        <w:left w:val="none" w:sz="0" w:space="0" w:color="auto"/>
        <w:bottom w:val="none" w:sz="0" w:space="0" w:color="auto"/>
        <w:right w:val="none" w:sz="0" w:space="0" w:color="auto"/>
      </w:divBdr>
    </w:div>
    <w:div w:id="373386509">
      <w:bodyDiv w:val="1"/>
      <w:marLeft w:val="0"/>
      <w:marRight w:val="0"/>
      <w:marTop w:val="0"/>
      <w:marBottom w:val="0"/>
      <w:divBdr>
        <w:top w:val="none" w:sz="0" w:space="0" w:color="auto"/>
        <w:left w:val="none" w:sz="0" w:space="0" w:color="auto"/>
        <w:bottom w:val="none" w:sz="0" w:space="0" w:color="auto"/>
        <w:right w:val="none" w:sz="0" w:space="0" w:color="auto"/>
      </w:divBdr>
    </w:div>
    <w:div w:id="385490335">
      <w:bodyDiv w:val="1"/>
      <w:marLeft w:val="0"/>
      <w:marRight w:val="0"/>
      <w:marTop w:val="0"/>
      <w:marBottom w:val="0"/>
      <w:divBdr>
        <w:top w:val="none" w:sz="0" w:space="0" w:color="auto"/>
        <w:left w:val="none" w:sz="0" w:space="0" w:color="auto"/>
        <w:bottom w:val="none" w:sz="0" w:space="0" w:color="auto"/>
        <w:right w:val="none" w:sz="0" w:space="0" w:color="auto"/>
      </w:divBdr>
    </w:div>
    <w:div w:id="1359161592">
      <w:bodyDiv w:val="1"/>
      <w:marLeft w:val="0"/>
      <w:marRight w:val="0"/>
      <w:marTop w:val="0"/>
      <w:marBottom w:val="0"/>
      <w:divBdr>
        <w:top w:val="none" w:sz="0" w:space="0" w:color="auto"/>
        <w:left w:val="none" w:sz="0" w:space="0" w:color="auto"/>
        <w:bottom w:val="none" w:sz="0" w:space="0" w:color="auto"/>
        <w:right w:val="none" w:sz="0" w:space="0" w:color="auto"/>
      </w:divBdr>
    </w:div>
    <w:div w:id="1458597184">
      <w:bodyDiv w:val="1"/>
      <w:marLeft w:val="0"/>
      <w:marRight w:val="0"/>
      <w:marTop w:val="0"/>
      <w:marBottom w:val="0"/>
      <w:divBdr>
        <w:top w:val="none" w:sz="0" w:space="0" w:color="auto"/>
        <w:left w:val="none" w:sz="0" w:space="0" w:color="auto"/>
        <w:bottom w:val="none" w:sz="0" w:space="0" w:color="auto"/>
        <w:right w:val="none" w:sz="0" w:space="0" w:color="auto"/>
      </w:divBdr>
    </w:div>
    <w:div w:id="1678311955">
      <w:bodyDiv w:val="1"/>
      <w:marLeft w:val="0"/>
      <w:marRight w:val="0"/>
      <w:marTop w:val="0"/>
      <w:marBottom w:val="0"/>
      <w:divBdr>
        <w:top w:val="none" w:sz="0" w:space="0" w:color="auto"/>
        <w:left w:val="none" w:sz="0" w:space="0" w:color="auto"/>
        <w:bottom w:val="none" w:sz="0" w:space="0" w:color="auto"/>
        <w:right w:val="none" w:sz="0" w:space="0" w:color="auto"/>
      </w:divBdr>
    </w:div>
    <w:div w:id="1743017101">
      <w:bodyDiv w:val="1"/>
      <w:marLeft w:val="0"/>
      <w:marRight w:val="0"/>
      <w:marTop w:val="0"/>
      <w:marBottom w:val="0"/>
      <w:divBdr>
        <w:top w:val="none" w:sz="0" w:space="0" w:color="auto"/>
        <w:left w:val="none" w:sz="0" w:space="0" w:color="auto"/>
        <w:bottom w:val="none" w:sz="0" w:space="0" w:color="auto"/>
        <w:right w:val="none" w:sz="0" w:space="0" w:color="auto"/>
      </w:divBdr>
    </w:div>
    <w:div w:id="1965772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CA098F-5206-4396-B771-6E427F7C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16</Pages>
  <Words>1472</Words>
  <Characters>8397</Characters>
  <Application>Microsoft Office Word</Application>
  <DocSecurity>0</DocSecurity>
  <Lines>69</Lines>
  <Paragraphs>19</Paragraphs>
  <ScaleCrop>false</ScaleCrop>
  <Company>微软中国</Company>
  <LinksUpToDate>false</LinksUpToDate>
  <CharactersWithSpaces>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creator>user</dc:creator>
  <cp:lastModifiedBy>微软用户</cp:lastModifiedBy>
  <cp:revision>513</cp:revision>
  <cp:lastPrinted>2017-08-02T02:14:00Z</cp:lastPrinted>
  <dcterms:created xsi:type="dcterms:W3CDTF">2015-02-28T00:43:00Z</dcterms:created>
  <dcterms:modified xsi:type="dcterms:W3CDTF">2017-08-07T02:43:00Z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